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BD" w:rsidRPr="00AE65B8" w:rsidRDefault="00090FBD" w:rsidP="004D39F7">
      <w:pPr>
        <w:ind w:right="-3073"/>
        <w:rPr>
          <w:rFonts w:ascii="Arial" w:hAnsi="Arial" w:cs="Arial"/>
          <w:b w:val="0"/>
          <w:sz w:val="22"/>
        </w:rPr>
      </w:pPr>
      <w:bookmarkStart w:id="0" w:name="_GoBack"/>
      <w:bookmarkEnd w:id="0"/>
    </w:p>
    <w:tbl>
      <w:tblPr>
        <w:tblStyle w:val="TableGrid"/>
        <w:tblW w:w="10600" w:type="dxa"/>
        <w:tblInd w:w="-108" w:type="dxa"/>
        <w:tblCellMar>
          <w:top w:w="48" w:type="dxa"/>
          <w:left w:w="108" w:type="dxa"/>
          <w:right w:w="52" w:type="dxa"/>
        </w:tblCellMar>
        <w:tblLook w:val="04A0" w:firstRow="1" w:lastRow="0" w:firstColumn="1" w:lastColumn="0" w:noHBand="0" w:noVBand="1"/>
      </w:tblPr>
      <w:tblGrid>
        <w:gridCol w:w="3228"/>
        <w:gridCol w:w="7372"/>
      </w:tblGrid>
      <w:tr w:rsidR="00090FBD" w:rsidRPr="00AE65B8" w:rsidTr="00C77C07">
        <w:trPr>
          <w:trHeight w:val="1445"/>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sz w:val="22"/>
              </w:rPr>
            </w:pPr>
            <w:r w:rsidRPr="00AE65B8">
              <w:rPr>
                <w:rFonts w:ascii="Arial" w:hAnsi="Arial" w:cs="Arial"/>
                <w:sz w:val="22"/>
              </w:rPr>
              <w:t xml:space="preserve">Data Controller contact </w:t>
            </w:r>
          </w:p>
          <w:p w:rsidR="00090FBD" w:rsidRPr="00AE65B8" w:rsidRDefault="00C77C07">
            <w:pPr>
              <w:rPr>
                <w:rFonts w:ascii="Arial" w:hAnsi="Arial" w:cs="Arial"/>
                <w:sz w:val="22"/>
              </w:rPr>
            </w:pPr>
            <w:r w:rsidRPr="00AE65B8">
              <w:rPr>
                <w:rFonts w:ascii="Arial" w:hAnsi="Arial" w:cs="Arial"/>
                <w:sz w:val="22"/>
              </w:rPr>
              <w:t xml:space="preserve">details </w:t>
            </w:r>
          </w:p>
          <w:p w:rsidR="00090FBD" w:rsidRPr="00AE65B8" w:rsidRDefault="00C77C07">
            <w:pPr>
              <w:rPr>
                <w:rFonts w:ascii="Arial" w:hAnsi="Arial" w:cs="Arial"/>
                <w:sz w:val="22"/>
              </w:rPr>
            </w:pPr>
            <w:r w:rsidRPr="00AE65B8">
              <w:rPr>
                <w:rFonts w:ascii="Arial" w:hAnsi="Arial" w:cs="Arial"/>
                <w:sz w:val="22"/>
              </w:rPr>
              <w:t xml:space="preserve"> </w:t>
            </w:r>
          </w:p>
          <w:p w:rsidR="00090FBD" w:rsidRPr="00AE65B8" w:rsidRDefault="00C77C07">
            <w:pPr>
              <w:rPr>
                <w:rFonts w:ascii="Arial" w:hAnsi="Arial" w:cs="Arial"/>
                <w:sz w:val="22"/>
              </w:rPr>
            </w:pPr>
            <w:r w:rsidRPr="00AE65B8">
              <w:rPr>
                <w:rFonts w:ascii="Arial" w:hAnsi="Arial" w:cs="Arial"/>
                <w:sz w:val="22"/>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090FBD" w:rsidRPr="00AE65B8" w:rsidRDefault="00904367" w:rsidP="00C77C07">
            <w:pPr>
              <w:rPr>
                <w:rFonts w:ascii="Arial" w:hAnsi="Arial" w:cs="Arial"/>
                <w:b w:val="0"/>
                <w:sz w:val="22"/>
              </w:rPr>
            </w:pPr>
            <w:r w:rsidRPr="00AE65B8">
              <w:rPr>
                <w:rFonts w:ascii="Arial" w:hAnsi="Arial" w:cs="Arial"/>
                <w:b w:val="0"/>
                <w:sz w:val="22"/>
              </w:rPr>
              <w:t>St Ann’s Hospice</w:t>
            </w:r>
          </w:p>
          <w:p w:rsidR="00904367" w:rsidRPr="00AE65B8" w:rsidRDefault="00904367" w:rsidP="00904367">
            <w:pPr>
              <w:rPr>
                <w:rFonts w:ascii="Arial" w:hAnsi="Arial" w:cs="Arial"/>
                <w:b w:val="0"/>
                <w:sz w:val="22"/>
              </w:rPr>
            </w:pPr>
            <w:r w:rsidRPr="00AE65B8">
              <w:rPr>
                <w:rFonts w:ascii="Arial" w:hAnsi="Arial" w:cs="Arial"/>
                <w:b w:val="0"/>
                <w:sz w:val="22"/>
              </w:rPr>
              <w:t>St Ann’s Road North</w:t>
            </w:r>
          </w:p>
          <w:p w:rsidR="00904367" w:rsidRPr="00AE65B8" w:rsidRDefault="00904367" w:rsidP="00904367">
            <w:pPr>
              <w:rPr>
                <w:rFonts w:ascii="Arial" w:hAnsi="Arial" w:cs="Arial"/>
                <w:b w:val="0"/>
                <w:sz w:val="22"/>
              </w:rPr>
            </w:pPr>
            <w:r w:rsidRPr="00AE65B8">
              <w:rPr>
                <w:rFonts w:ascii="Arial" w:hAnsi="Arial" w:cs="Arial"/>
                <w:b w:val="0"/>
                <w:sz w:val="22"/>
              </w:rPr>
              <w:t>Heald Green</w:t>
            </w:r>
          </w:p>
          <w:p w:rsidR="00904367" w:rsidRPr="00AE65B8" w:rsidRDefault="00904367" w:rsidP="00904367">
            <w:pPr>
              <w:rPr>
                <w:rFonts w:ascii="Arial" w:hAnsi="Arial" w:cs="Arial"/>
                <w:b w:val="0"/>
                <w:sz w:val="22"/>
              </w:rPr>
            </w:pPr>
            <w:r w:rsidRPr="00AE65B8">
              <w:rPr>
                <w:rFonts w:ascii="Arial" w:hAnsi="Arial" w:cs="Arial"/>
                <w:b w:val="0"/>
                <w:sz w:val="22"/>
              </w:rPr>
              <w:t>Cheadle</w:t>
            </w:r>
          </w:p>
          <w:p w:rsidR="00904367" w:rsidRPr="00AE65B8" w:rsidRDefault="00904367" w:rsidP="00904367">
            <w:pPr>
              <w:rPr>
                <w:rFonts w:ascii="Arial" w:hAnsi="Arial" w:cs="Arial"/>
                <w:b w:val="0"/>
                <w:sz w:val="22"/>
              </w:rPr>
            </w:pPr>
            <w:r w:rsidRPr="00AE65B8">
              <w:rPr>
                <w:rFonts w:ascii="Arial" w:hAnsi="Arial" w:cs="Arial"/>
                <w:b w:val="0"/>
                <w:sz w:val="22"/>
              </w:rPr>
              <w:t>Cheshire</w:t>
            </w:r>
          </w:p>
          <w:p w:rsidR="00904367" w:rsidRPr="00AE65B8" w:rsidRDefault="00904367" w:rsidP="00904367">
            <w:pPr>
              <w:rPr>
                <w:rFonts w:ascii="Arial" w:hAnsi="Arial" w:cs="Arial"/>
                <w:sz w:val="22"/>
              </w:rPr>
            </w:pPr>
            <w:r w:rsidRPr="00AE65B8">
              <w:rPr>
                <w:rFonts w:ascii="Arial" w:hAnsi="Arial" w:cs="Arial"/>
                <w:b w:val="0"/>
                <w:sz w:val="22"/>
              </w:rPr>
              <w:t>SK8 3SZ</w:t>
            </w:r>
          </w:p>
        </w:tc>
      </w:tr>
      <w:tr w:rsidR="00090FBD" w:rsidRPr="00AE65B8" w:rsidTr="00C77C07">
        <w:trPr>
          <w:trHeight w:val="377"/>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rsidP="00C77C07">
            <w:pPr>
              <w:rPr>
                <w:rFonts w:ascii="Arial" w:hAnsi="Arial" w:cs="Arial"/>
                <w:sz w:val="22"/>
              </w:rPr>
            </w:pPr>
            <w:r w:rsidRPr="00AE65B8">
              <w:rPr>
                <w:rFonts w:ascii="Arial" w:hAnsi="Arial" w:cs="Arial"/>
                <w:sz w:val="22"/>
              </w:rPr>
              <w:t>Data Protection Officer</w:t>
            </w:r>
          </w:p>
        </w:tc>
        <w:tc>
          <w:tcPr>
            <w:tcW w:w="7372" w:type="dxa"/>
            <w:tcBorders>
              <w:top w:val="single" w:sz="4" w:space="0" w:color="000000"/>
              <w:left w:val="single" w:sz="4" w:space="0" w:color="000000"/>
              <w:bottom w:val="single" w:sz="4" w:space="0" w:color="000000"/>
              <w:right w:val="single" w:sz="4" w:space="0" w:color="000000"/>
            </w:tcBorders>
          </w:tcPr>
          <w:p w:rsidR="00090FBD" w:rsidRPr="00AE65B8" w:rsidRDefault="00904367">
            <w:pPr>
              <w:rPr>
                <w:rFonts w:ascii="Arial" w:hAnsi="Arial" w:cs="Arial"/>
                <w:sz w:val="22"/>
              </w:rPr>
            </w:pPr>
            <w:r w:rsidRPr="00AE65B8">
              <w:rPr>
                <w:rFonts w:ascii="Arial" w:hAnsi="Arial" w:cs="Arial"/>
                <w:b w:val="0"/>
                <w:color w:val="0000FF"/>
                <w:sz w:val="22"/>
                <w:u w:val="single" w:color="0000FF"/>
              </w:rPr>
              <w:t>dataprotectionofficer@sah.org.uk</w:t>
            </w:r>
          </w:p>
        </w:tc>
      </w:tr>
      <w:tr w:rsidR="00090FBD" w:rsidRPr="00AE65B8" w:rsidTr="00C77C07">
        <w:trPr>
          <w:trHeight w:val="369"/>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rsidP="008802E5">
            <w:pPr>
              <w:rPr>
                <w:rFonts w:ascii="Arial" w:hAnsi="Arial" w:cs="Arial"/>
                <w:sz w:val="22"/>
              </w:rPr>
            </w:pPr>
            <w:r w:rsidRPr="00AE65B8">
              <w:rPr>
                <w:rFonts w:ascii="Arial" w:hAnsi="Arial" w:cs="Arial"/>
                <w:sz w:val="22"/>
              </w:rPr>
              <w:t xml:space="preserve">Purpose of the </w:t>
            </w:r>
            <w:r w:rsidR="008802E5" w:rsidRPr="00AE65B8">
              <w:rPr>
                <w:rFonts w:ascii="Arial" w:hAnsi="Arial" w:cs="Arial"/>
                <w:sz w:val="22"/>
              </w:rPr>
              <w:t>processing</w:t>
            </w:r>
            <w:r w:rsidRPr="00AE65B8">
              <w:rPr>
                <w:rFonts w:ascii="Arial" w:hAnsi="Arial" w:cs="Arial"/>
                <w:sz w:val="22"/>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090FBD" w:rsidRPr="00AE65B8" w:rsidRDefault="00C77C07" w:rsidP="00C77C07">
            <w:pPr>
              <w:rPr>
                <w:rFonts w:ascii="Arial" w:hAnsi="Arial" w:cs="Arial"/>
                <w:sz w:val="22"/>
              </w:rPr>
            </w:pPr>
            <w:r w:rsidRPr="00AE65B8">
              <w:rPr>
                <w:rFonts w:ascii="Arial" w:hAnsi="Arial" w:cs="Arial"/>
                <w:b w:val="0"/>
                <w:sz w:val="22"/>
              </w:rPr>
              <w:t xml:space="preserve">Direct patient care. </w:t>
            </w:r>
          </w:p>
        </w:tc>
      </w:tr>
      <w:tr w:rsidR="00090FBD" w:rsidRPr="00AE65B8" w:rsidTr="00111E09">
        <w:trPr>
          <w:trHeight w:val="3069"/>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8802E5" w:rsidP="008802E5">
            <w:pPr>
              <w:rPr>
                <w:rFonts w:ascii="Arial" w:hAnsi="Arial" w:cs="Arial"/>
                <w:sz w:val="22"/>
              </w:rPr>
            </w:pPr>
            <w:r w:rsidRPr="00AE65B8">
              <w:rPr>
                <w:rFonts w:ascii="Arial" w:hAnsi="Arial" w:cs="Arial"/>
                <w:sz w:val="22"/>
              </w:rPr>
              <w:t>Lawful basis for processing</w:t>
            </w:r>
          </w:p>
        </w:tc>
        <w:tc>
          <w:tcPr>
            <w:tcW w:w="7372"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b w:val="0"/>
                <w:sz w:val="22"/>
              </w:rPr>
            </w:pPr>
            <w:r w:rsidRPr="00AE65B8">
              <w:rPr>
                <w:rFonts w:ascii="Arial" w:hAnsi="Arial" w:cs="Arial"/>
                <w:b w:val="0"/>
                <w:sz w:val="22"/>
              </w:rPr>
              <w:t xml:space="preserve">Under the General Data Protection Regulation </w:t>
            </w:r>
            <w:r w:rsidR="00904367" w:rsidRPr="00AE65B8">
              <w:rPr>
                <w:rFonts w:ascii="Arial" w:hAnsi="Arial" w:cs="Arial"/>
                <w:b w:val="0"/>
                <w:sz w:val="22"/>
              </w:rPr>
              <w:t xml:space="preserve">(GDPR) </w:t>
            </w:r>
            <w:r w:rsidRPr="00AE65B8">
              <w:rPr>
                <w:rFonts w:ascii="Arial" w:hAnsi="Arial" w:cs="Arial"/>
                <w:b w:val="0"/>
                <w:sz w:val="22"/>
              </w:rPr>
              <w:t xml:space="preserve">and the Data Protection Act </w:t>
            </w:r>
            <w:r w:rsidR="00904367" w:rsidRPr="00AE65B8">
              <w:rPr>
                <w:rFonts w:ascii="Arial" w:hAnsi="Arial" w:cs="Arial"/>
                <w:b w:val="0"/>
                <w:sz w:val="22"/>
              </w:rPr>
              <w:t xml:space="preserve">(DPA) </w:t>
            </w:r>
            <w:r w:rsidRPr="00AE65B8">
              <w:rPr>
                <w:rFonts w:ascii="Arial" w:hAnsi="Arial" w:cs="Arial"/>
                <w:b w:val="0"/>
                <w:sz w:val="22"/>
              </w:rPr>
              <w:t xml:space="preserve">2018 all organisations need to identify a Legal Basis for Processing when dealing with personal information.  </w:t>
            </w:r>
            <w:r w:rsidR="00904367" w:rsidRPr="00AE65B8">
              <w:rPr>
                <w:rFonts w:ascii="Arial" w:hAnsi="Arial" w:cs="Arial"/>
                <w:b w:val="0"/>
                <w:sz w:val="22"/>
              </w:rPr>
              <w:t>St Ann’s Hospice</w:t>
            </w:r>
            <w:r w:rsidRPr="00AE65B8">
              <w:rPr>
                <w:rFonts w:ascii="Arial" w:hAnsi="Arial" w:cs="Arial"/>
                <w:b w:val="0"/>
                <w:sz w:val="22"/>
              </w:rPr>
              <w:t xml:space="preserve"> Legal Basis for Processing our patients information is:</w:t>
            </w:r>
          </w:p>
          <w:p w:rsidR="00C77C07" w:rsidRPr="00AE65B8" w:rsidRDefault="00C77C07">
            <w:pPr>
              <w:rPr>
                <w:rFonts w:ascii="Arial" w:hAnsi="Arial" w:cs="Arial"/>
                <w:b w:val="0"/>
                <w:sz w:val="22"/>
              </w:rPr>
            </w:pPr>
          </w:p>
          <w:p w:rsidR="00090FBD" w:rsidRPr="00AE65B8" w:rsidRDefault="00C77C07">
            <w:pPr>
              <w:rPr>
                <w:rFonts w:ascii="Arial" w:hAnsi="Arial" w:cs="Arial"/>
                <w:sz w:val="22"/>
              </w:rPr>
            </w:pPr>
            <w:r w:rsidRPr="00AE65B8">
              <w:rPr>
                <w:rFonts w:ascii="Arial" w:hAnsi="Arial" w:cs="Arial"/>
                <w:sz w:val="22"/>
              </w:rPr>
              <w:t>Personal Data - Article 6(1)(e)</w:t>
            </w:r>
          </w:p>
          <w:p w:rsidR="00090FBD" w:rsidRPr="00AE65B8" w:rsidRDefault="00C77C07">
            <w:pPr>
              <w:spacing w:line="239" w:lineRule="auto"/>
              <w:rPr>
                <w:rFonts w:ascii="Arial" w:hAnsi="Arial" w:cs="Arial"/>
                <w:b w:val="0"/>
                <w:sz w:val="22"/>
              </w:rPr>
            </w:pPr>
            <w:r w:rsidRPr="00AE65B8">
              <w:rPr>
                <w:rFonts w:ascii="Arial" w:hAnsi="Arial" w:cs="Arial"/>
                <w:b w:val="0"/>
                <w:sz w:val="22"/>
              </w:rPr>
              <w:t xml:space="preserve">“processing is necessary for the performance of a task carried out in the public interest or in the exercise of official authority vested in the controller;” </w:t>
            </w:r>
          </w:p>
          <w:p w:rsidR="00090FBD" w:rsidRPr="00AE65B8" w:rsidRDefault="00C77C07">
            <w:pPr>
              <w:rPr>
                <w:rFonts w:ascii="Arial" w:hAnsi="Arial" w:cs="Arial"/>
                <w:b w:val="0"/>
                <w:sz w:val="22"/>
              </w:rPr>
            </w:pPr>
            <w:r w:rsidRPr="00AE65B8">
              <w:rPr>
                <w:rFonts w:ascii="Arial" w:hAnsi="Arial" w:cs="Arial"/>
                <w:b w:val="0"/>
                <w:sz w:val="22"/>
              </w:rPr>
              <w:t xml:space="preserve"> </w:t>
            </w:r>
          </w:p>
          <w:p w:rsidR="00090FBD" w:rsidRPr="00AE65B8" w:rsidRDefault="00C77C07">
            <w:pPr>
              <w:rPr>
                <w:rFonts w:ascii="Arial" w:hAnsi="Arial" w:cs="Arial"/>
                <w:sz w:val="22"/>
              </w:rPr>
            </w:pPr>
            <w:r w:rsidRPr="00AE65B8">
              <w:rPr>
                <w:rFonts w:ascii="Arial" w:hAnsi="Arial" w:cs="Arial"/>
                <w:sz w:val="22"/>
              </w:rPr>
              <w:t>Special Category Data - Article 9(2)(h)</w:t>
            </w:r>
          </w:p>
          <w:p w:rsidR="00090FBD" w:rsidRPr="00AE65B8" w:rsidRDefault="00C77C07" w:rsidP="00111E09">
            <w:pPr>
              <w:spacing w:line="239" w:lineRule="auto"/>
              <w:rPr>
                <w:rFonts w:ascii="Arial" w:hAnsi="Arial" w:cs="Arial"/>
                <w:sz w:val="22"/>
              </w:rPr>
            </w:pPr>
            <w:r w:rsidRPr="00AE65B8">
              <w:rPr>
                <w:rFonts w:ascii="Arial" w:hAnsi="Arial" w:cs="Arial"/>
                <w:b w:val="0"/>
                <w:sz w:val="22"/>
              </w:rPr>
              <w:t>“</w:t>
            </w:r>
            <w:proofErr w:type="gramStart"/>
            <w:r w:rsidRPr="00AE65B8">
              <w:rPr>
                <w:rFonts w:ascii="Arial" w:hAnsi="Arial" w:cs="Arial"/>
                <w:b w:val="0"/>
                <w:sz w:val="22"/>
              </w:rPr>
              <w:t>processing</w:t>
            </w:r>
            <w:proofErr w:type="gramEnd"/>
            <w:r w:rsidRPr="00AE65B8">
              <w:rPr>
                <w:rFonts w:ascii="Arial" w:hAnsi="Arial" w:cs="Arial"/>
                <w:b w:val="0"/>
                <w:sz w:val="22"/>
              </w:rPr>
              <w:t xml:space="preserve"> is necessary for the purposes of medical diagnosis, the provision of hea</w:t>
            </w:r>
            <w:r w:rsidR="00111E09" w:rsidRPr="00AE65B8">
              <w:rPr>
                <w:rFonts w:ascii="Arial" w:hAnsi="Arial" w:cs="Arial"/>
                <w:b w:val="0"/>
                <w:sz w:val="22"/>
              </w:rPr>
              <w:t>lth or social care or treatment.</w:t>
            </w:r>
          </w:p>
        </w:tc>
      </w:tr>
      <w:tr w:rsidR="00090FBD" w:rsidRPr="00AE65B8" w:rsidTr="00C77C07">
        <w:tblPrEx>
          <w:tblCellMar>
            <w:right w:w="64" w:type="dxa"/>
          </w:tblCellMar>
        </w:tblPrEx>
        <w:trPr>
          <w:trHeight w:val="1862"/>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sz w:val="22"/>
              </w:rPr>
            </w:pPr>
            <w:r w:rsidRPr="00AE65B8">
              <w:rPr>
                <w:rFonts w:ascii="Arial" w:hAnsi="Arial" w:cs="Arial"/>
                <w:sz w:val="22"/>
              </w:rPr>
              <w:t xml:space="preserve">Recipient or categories of recipients of the shared data </w:t>
            </w:r>
          </w:p>
        </w:tc>
        <w:tc>
          <w:tcPr>
            <w:tcW w:w="7372" w:type="dxa"/>
            <w:tcBorders>
              <w:top w:val="single" w:sz="4" w:space="0" w:color="000000"/>
              <w:left w:val="single" w:sz="4" w:space="0" w:color="000000"/>
              <w:bottom w:val="single" w:sz="4" w:space="0" w:color="000000"/>
              <w:right w:val="single" w:sz="4" w:space="0" w:color="000000"/>
            </w:tcBorders>
          </w:tcPr>
          <w:p w:rsidR="00904367" w:rsidRPr="00AE65B8" w:rsidRDefault="00C77C07">
            <w:pPr>
              <w:spacing w:line="239" w:lineRule="auto"/>
              <w:rPr>
                <w:rFonts w:ascii="Arial" w:hAnsi="Arial" w:cs="Arial"/>
                <w:b w:val="0"/>
                <w:sz w:val="22"/>
              </w:rPr>
            </w:pPr>
            <w:r w:rsidRPr="00AE65B8">
              <w:rPr>
                <w:rFonts w:ascii="Arial" w:hAnsi="Arial" w:cs="Arial"/>
                <w:b w:val="0"/>
                <w:sz w:val="22"/>
              </w:rPr>
              <w:t xml:space="preserve">All information about patients, both clinical and demographic, are recorded in their </w:t>
            </w:r>
            <w:r w:rsidR="00904367" w:rsidRPr="00AE65B8">
              <w:rPr>
                <w:rFonts w:ascii="Arial" w:hAnsi="Arial" w:cs="Arial"/>
                <w:b w:val="0"/>
                <w:sz w:val="22"/>
              </w:rPr>
              <w:t>h</w:t>
            </w:r>
            <w:r w:rsidRPr="00AE65B8">
              <w:rPr>
                <w:rFonts w:ascii="Arial" w:hAnsi="Arial" w:cs="Arial"/>
                <w:b w:val="0"/>
                <w:sz w:val="22"/>
              </w:rPr>
              <w:t>ospice electronic record. That information is then available to</w:t>
            </w:r>
            <w:r w:rsidR="00904367" w:rsidRPr="00AE65B8">
              <w:rPr>
                <w:rFonts w:ascii="Arial" w:hAnsi="Arial" w:cs="Arial"/>
                <w:b w:val="0"/>
                <w:sz w:val="22"/>
              </w:rPr>
              <w:t xml:space="preserve"> St Ann’s staff caring for the patient and other healthcare providers involved in the care of the patient.</w:t>
            </w:r>
          </w:p>
          <w:p w:rsidR="00C77C07" w:rsidRPr="00AE65B8" w:rsidRDefault="00C77C07" w:rsidP="00C77C07">
            <w:pPr>
              <w:rPr>
                <w:rFonts w:ascii="Arial" w:hAnsi="Arial" w:cs="Arial"/>
                <w:b w:val="0"/>
                <w:sz w:val="22"/>
              </w:rPr>
            </w:pPr>
            <w:r w:rsidRPr="00AE65B8">
              <w:rPr>
                <w:rFonts w:ascii="Arial" w:hAnsi="Arial" w:cs="Arial"/>
                <w:b w:val="0"/>
                <w:sz w:val="22"/>
              </w:rPr>
              <w:t xml:space="preserve"> </w:t>
            </w:r>
          </w:p>
          <w:p w:rsidR="00090FBD" w:rsidRPr="00AE65B8" w:rsidRDefault="00C77C07" w:rsidP="00C77C07">
            <w:pPr>
              <w:spacing w:after="19" w:line="239" w:lineRule="auto"/>
              <w:rPr>
                <w:rFonts w:ascii="Arial" w:hAnsi="Arial" w:cs="Arial"/>
                <w:b w:val="0"/>
                <w:sz w:val="22"/>
              </w:rPr>
            </w:pPr>
            <w:r w:rsidRPr="00AE65B8">
              <w:rPr>
                <w:rFonts w:ascii="Arial" w:hAnsi="Arial" w:cs="Arial"/>
                <w:b w:val="0"/>
                <w:sz w:val="22"/>
              </w:rPr>
              <w:t>EMIS Health Ltd acts as the data processor for this</w:t>
            </w:r>
            <w:r w:rsidR="00904367" w:rsidRPr="00AE65B8">
              <w:rPr>
                <w:rFonts w:ascii="Arial" w:hAnsi="Arial" w:cs="Arial"/>
                <w:b w:val="0"/>
                <w:sz w:val="22"/>
              </w:rPr>
              <w:t xml:space="preserve"> information</w:t>
            </w:r>
            <w:r w:rsidRPr="00AE65B8">
              <w:rPr>
                <w:rFonts w:ascii="Arial" w:hAnsi="Arial" w:cs="Arial"/>
                <w:b w:val="0"/>
                <w:sz w:val="22"/>
              </w:rPr>
              <w:t>, hosting the patient records database at their secure servers in Leeds.  Please see EMIS Health Ltd privacy notice.</w:t>
            </w:r>
          </w:p>
          <w:p w:rsidR="00C77C07" w:rsidRPr="00AE65B8" w:rsidRDefault="00C77C07" w:rsidP="00C77C07">
            <w:pPr>
              <w:spacing w:after="19" w:line="239" w:lineRule="auto"/>
              <w:rPr>
                <w:rFonts w:ascii="Arial" w:hAnsi="Arial" w:cs="Arial"/>
                <w:b w:val="0"/>
                <w:sz w:val="22"/>
              </w:rPr>
            </w:pPr>
          </w:p>
          <w:p w:rsidR="00C77C07" w:rsidRPr="00AE65B8" w:rsidRDefault="003A0DF5" w:rsidP="00C77C07">
            <w:pPr>
              <w:spacing w:after="19" w:line="239" w:lineRule="auto"/>
              <w:rPr>
                <w:rFonts w:ascii="Arial" w:hAnsi="Arial" w:cs="Arial"/>
                <w:b w:val="0"/>
                <w:sz w:val="22"/>
              </w:rPr>
            </w:pPr>
            <w:hyperlink r:id="rId4" w:history="1">
              <w:r w:rsidR="00C77C07" w:rsidRPr="00AE65B8">
                <w:rPr>
                  <w:rFonts w:ascii="Arial" w:hAnsi="Arial" w:cs="Arial"/>
                  <w:b w:val="0"/>
                  <w:sz w:val="22"/>
                </w:rPr>
                <w:t>https://www.emishealth.com/legal/</w:t>
              </w:r>
            </w:hyperlink>
          </w:p>
        </w:tc>
      </w:tr>
      <w:tr w:rsidR="00090FBD" w:rsidRPr="00AE65B8">
        <w:tblPrEx>
          <w:tblCellMar>
            <w:right w:w="64" w:type="dxa"/>
          </w:tblCellMar>
        </w:tblPrEx>
        <w:trPr>
          <w:trHeight w:val="2009"/>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rsidP="00904367">
            <w:pPr>
              <w:rPr>
                <w:rFonts w:ascii="Arial" w:hAnsi="Arial" w:cs="Arial"/>
                <w:sz w:val="22"/>
              </w:rPr>
            </w:pPr>
            <w:r w:rsidRPr="00AE65B8">
              <w:rPr>
                <w:rFonts w:ascii="Arial" w:hAnsi="Arial" w:cs="Arial"/>
                <w:sz w:val="22"/>
              </w:rPr>
              <w:t xml:space="preserve">Rights </w:t>
            </w:r>
            <w:r w:rsidR="00904367" w:rsidRPr="00AE65B8">
              <w:rPr>
                <w:rFonts w:ascii="Arial" w:hAnsi="Arial" w:cs="Arial"/>
                <w:sz w:val="22"/>
              </w:rPr>
              <w:t>of the Data Subject</w:t>
            </w:r>
            <w:r w:rsidRPr="00AE65B8">
              <w:rPr>
                <w:rFonts w:ascii="Arial" w:hAnsi="Arial" w:cs="Arial"/>
                <w:sz w:val="22"/>
              </w:rPr>
              <w:t xml:space="preserve">  </w:t>
            </w:r>
          </w:p>
        </w:tc>
        <w:tc>
          <w:tcPr>
            <w:tcW w:w="7372" w:type="dxa"/>
            <w:tcBorders>
              <w:top w:val="single" w:sz="4" w:space="0" w:color="000000"/>
              <w:left w:val="single" w:sz="4" w:space="0" w:color="000000"/>
              <w:bottom w:val="single" w:sz="4" w:space="0" w:color="000000"/>
              <w:right w:val="single" w:sz="4" w:space="0" w:color="000000"/>
            </w:tcBorders>
          </w:tcPr>
          <w:p w:rsidR="00904367" w:rsidRPr="00AE65B8" w:rsidRDefault="00904367" w:rsidP="00904367">
            <w:pPr>
              <w:spacing w:line="237" w:lineRule="auto"/>
              <w:rPr>
                <w:rFonts w:ascii="Arial" w:hAnsi="Arial" w:cs="Arial"/>
                <w:b w:val="0"/>
                <w:sz w:val="22"/>
              </w:rPr>
            </w:pPr>
            <w:r w:rsidRPr="00AE65B8">
              <w:rPr>
                <w:rFonts w:ascii="Arial" w:hAnsi="Arial" w:cs="Arial"/>
                <w:b w:val="0"/>
                <w:sz w:val="22"/>
              </w:rPr>
              <w:t>All data subjects have various rights under GDPR and DPA 2018.  These rights will vary depending upon the legal basis for processing the information.  The Rights of the data subject are:</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of access by the data subject</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rectification</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erasure ('right to be forgotten')</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restriction of processing</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data portability</w:t>
            </w:r>
          </w:p>
          <w:p w:rsidR="00904367"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object and automated individual decision-making</w:t>
            </w:r>
          </w:p>
          <w:p w:rsidR="00090FBD" w:rsidRPr="00AE65B8" w:rsidRDefault="00904367" w:rsidP="00904367">
            <w:pPr>
              <w:spacing w:line="237" w:lineRule="auto"/>
              <w:ind w:left="720"/>
              <w:rPr>
                <w:rFonts w:ascii="Arial" w:hAnsi="Arial" w:cs="Arial"/>
                <w:b w:val="0"/>
                <w:sz w:val="22"/>
              </w:rPr>
            </w:pPr>
            <w:r w:rsidRPr="00AE65B8">
              <w:rPr>
                <w:rFonts w:ascii="Arial" w:hAnsi="Arial" w:cs="Arial"/>
                <w:b w:val="0"/>
                <w:sz w:val="22"/>
              </w:rPr>
              <w:t>Right to object</w:t>
            </w:r>
            <w:r w:rsidR="00C77C07" w:rsidRPr="00AE65B8">
              <w:rPr>
                <w:rFonts w:ascii="Arial" w:hAnsi="Arial" w:cs="Arial"/>
                <w:b w:val="0"/>
                <w:sz w:val="22"/>
              </w:rPr>
              <w:t xml:space="preserve"> </w:t>
            </w:r>
          </w:p>
        </w:tc>
      </w:tr>
      <w:tr w:rsidR="00090FBD" w:rsidRPr="00AE65B8" w:rsidTr="00904367">
        <w:tblPrEx>
          <w:tblCellMar>
            <w:right w:w="64" w:type="dxa"/>
          </w:tblCellMar>
        </w:tblPrEx>
        <w:trPr>
          <w:trHeight w:val="1937"/>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sz w:val="22"/>
              </w:rPr>
            </w:pPr>
            <w:r w:rsidRPr="00AE65B8">
              <w:rPr>
                <w:rFonts w:ascii="Arial" w:hAnsi="Arial" w:cs="Arial"/>
                <w:sz w:val="22"/>
              </w:rPr>
              <w:t xml:space="preserve">Retention period  </w:t>
            </w:r>
          </w:p>
        </w:tc>
        <w:tc>
          <w:tcPr>
            <w:tcW w:w="7372" w:type="dxa"/>
            <w:tcBorders>
              <w:top w:val="single" w:sz="4" w:space="0" w:color="000000"/>
              <w:left w:val="single" w:sz="4" w:space="0" w:color="000000"/>
              <w:bottom w:val="single" w:sz="4" w:space="0" w:color="000000"/>
              <w:right w:val="single" w:sz="4" w:space="0" w:color="000000"/>
            </w:tcBorders>
          </w:tcPr>
          <w:p w:rsidR="00904367" w:rsidRPr="00AE65B8" w:rsidRDefault="00904367" w:rsidP="00904367">
            <w:pPr>
              <w:spacing w:after="19" w:line="239" w:lineRule="auto"/>
              <w:rPr>
                <w:rFonts w:ascii="Arial" w:hAnsi="Arial" w:cs="Arial"/>
                <w:b w:val="0"/>
                <w:sz w:val="22"/>
              </w:rPr>
            </w:pPr>
            <w:r w:rsidRPr="00AE65B8">
              <w:rPr>
                <w:rFonts w:ascii="Arial" w:hAnsi="Arial" w:cs="Arial"/>
                <w:b w:val="0"/>
                <w:sz w:val="22"/>
              </w:rPr>
              <w:t>Adult health and social care records will be retained for 8 years following discharge, death or patient last seen.</w:t>
            </w:r>
          </w:p>
          <w:p w:rsidR="00904367" w:rsidRPr="00AE65B8" w:rsidRDefault="00904367" w:rsidP="00904367">
            <w:pPr>
              <w:spacing w:after="19" w:line="239" w:lineRule="auto"/>
              <w:rPr>
                <w:rFonts w:ascii="Arial" w:hAnsi="Arial" w:cs="Arial"/>
                <w:b w:val="0"/>
                <w:sz w:val="22"/>
              </w:rPr>
            </w:pPr>
          </w:p>
          <w:p w:rsidR="00904367" w:rsidRPr="00AE65B8" w:rsidRDefault="00904367" w:rsidP="00904367">
            <w:pPr>
              <w:spacing w:after="19" w:line="239" w:lineRule="auto"/>
              <w:rPr>
                <w:rFonts w:ascii="Arial" w:hAnsi="Arial" w:cs="Arial"/>
                <w:b w:val="0"/>
                <w:sz w:val="22"/>
              </w:rPr>
            </w:pPr>
            <w:r w:rsidRPr="00AE65B8">
              <w:rPr>
                <w:rFonts w:ascii="Arial" w:hAnsi="Arial" w:cs="Arial"/>
                <w:b w:val="0"/>
                <w:sz w:val="22"/>
              </w:rPr>
              <w:t>In the case of any mental health records these will be retained for 20 years or 8 years after the patient has died.</w:t>
            </w:r>
          </w:p>
          <w:p w:rsidR="00904367" w:rsidRPr="00AE65B8" w:rsidRDefault="00904367" w:rsidP="00904367">
            <w:pPr>
              <w:spacing w:after="19" w:line="239" w:lineRule="auto"/>
              <w:rPr>
                <w:rFonts w:ascii="Arial" w:hAnsi="Arial" w:cs="Arial"/>
                <w:b w:val="0"/>
                <w:sz w:val="22"/>
              </w:rPr>
            </w:pPr>
          </w:p>
          <w:p w:rsidR="00904367" w:rsidRPr="00AE65B8" w:rsidRDefault="003A0DF5" w:rsidP="00904367">
            <w:pPr>
              <w:spacing w:after="19" w:line="239" w:lineRule="auto"/>
              <w:rPr>
                <w:rFonts w:ascii="Arial" w:hAnsi="Arial" w:cs="Arial"/>
                <w:sz w:val="22"/>
              </w:rPr>
            </w:pPr>
            <w:hyperlink r:id="rId5" w:history="1">
              <w:r w:rsidR="00904367" w:rsidRPr="00AE65B8">
                <w:rPr>
                  <w:rStyle w:val="Hyperlink"/>
                  <w:rFonts w:ascii="Arial" w:hAnsi="Arial" w:cs="Arial"/>
                  <w:b w:val="0"/>
                  <w:sz w:val="22"/>
                </w:rPr>
                <w:t>http://systems.hscic.gov.uk/infogov/iga/rmcop16718.pdf</w:t>
              </w:r>
            </w:hyperlink>
          </w:p>
        </w:tc>
      </w:tr>
      <w:tr w:rsidR="00090FBD" w:rsidRPr="00AE65B8" w:rsidTr="00AE65B8">
        <w:tblPrEx>
          <w:tblCellMar>
            <w:right w:w="64" w:type="dxa"/>
          </w:tblCellMar>
        </w:tblPrEx>
        <w:trPr>
          <w:trHeight w:val="1937"/>
        </w:trPr>
        <w:tc>
          <w:tcPr>
            <w:tcW w:w="3228"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sz w:val="22"/>
              </w:rPr>
            </w:pPr>
            <w:r w:rsidRPr="00AE65B8">
              <w:rPr>
                <w:rFonts w:ascii="Arial" w:hAnsi="Arial" w:cs="Arial"/>
                <w:sz w:val="22"/>
              </w:rPr>
              <w:t xml:space="preserve">Right to Complain </w:t>
            </w:r>
          </w:p>
        </w:tc>
        <w:tc>
          <w:tcPr>
            <w:tcW w:w="7372" w:type="dxa"/>
            <w:tcBorders>
              <w:top w:val="single" w:sz="4" w:space="0" w:color="000000"/>
              <w:left w:val="single" w:sz="4" w:space="0" w:color="000000"/>
              <w:bottom w:val="single" w:sz="4" w:space="0" w:color="000000"/>
              <w:right w:val="single" w:sz="4" w:space="0" w:color="000000"/>
            </w:tcBorders>
          </w:tcPr>
          <w:p w:rsidR="00090FBD" w:rsidRPr="00AE65B8" w:rsidRDefault="00C77C07">
            <w:pPr>
              <w:rPr>
                <w:rFonts w:ascii="Arial" w:hAnsi="Arial" w:cs="Arial"/>
                <w:sz w:val="22"/>
              </w:rPr>
            </w:pPr>
            <w:r w:rsidRPr="00AE65B8">
              <w:rPr>
                <w:rFonts w:ascii="Arial" w:hAnsi="Arial" w:cs="Arial"/>
                <w:b w:val="0"/>
                <w:sz w:val="22"/>
              </w:rPr>
              <w:t>You have the right to complain to the Information Commissioner’s Office, you can use this link</w:t>
            </w:r>
            <w:hyperlink r:id="rId6">
              <w:r w:rsidRPr="00AE65B8">
                <w:rPr>
                  <w:rFonts w:ascii="Arial" w:hAnsi="Arial" w:cs="Arial"/>
                  <w:b w:val="0"/>
                  <w:sz w:val="22"/>
                </w:rPr>
                <w:t xml:space="preserve"> </w:t>
              </w:r>
            </w:hyperlink>
            <w:hyperlink r:id="rId7">
              <w:r w:rsidRPr="00AE65B8">
                <w:rPr>
                  <w:rFonts w:ascii="Arial" w:hAnsi="Arial" w:cs="Arial"/>
                  <w:b w:val="0"/>
                  <w:sz w:val="22"/>
                  <w:u w:val="single" w:color="000000"/>
                </w:rPr>
                <w:t>https://ico.org.uk/global/contact</w:t>
              </w:r>
            </w:hyperlink>
            <w:hyperlink r:id="rId8">
              <w:r w:rsidRPr="00AE65B8">
                <w:rPr>
                  <w:rFonts w:ascii="Arial" w:hAnsi="Arial" w:cs="Arial"/>
                  <w:b w:val="0"/>
                  <w:sz w:val="22"/>
                  <w:u w:val="single" w:color="000000"/>
                </w:rPr>
                <w:t>-</w:t>
              </w:r>
            </w:hyperlink>
            <w:hyperlink r:id="rId9">
              <w:r w:rsidRPr="00AE65B8">
                <w:rPr>
                  <w:rFonts w:ascii="Arial" w:hAnsi="Arial" w:cs="Arial"/>
                  <w:b w:val="0"/>
                  <w:sz w:val="22"/>
                  <w:u w:val="single" w:color="000000"/>
                </w:rPr>
                <w:t>us/</w:t>
              </w:r>
            </w:hyperlink>
            <w:hyperlink r:id="rId10">
              <w:r w:rsidRPr="00AE65B8">
                <w:rPr>
                  <w:rFonts w:ascii="Arial" w:hAnsi="Arial" w:cs="Arial"/>
                  <w:b w:val="0"/>
                  <w:sz w:val="22"/>
                </w:rPr>
                <w:t xml:space="preserve"> </w:t>
              </w:r>
            </w:hyperlink>
            <w:r w:rsidRPr="00AE65B8">
              <w:rPr>
                <w:rFonts w:ascii="Arial" w:hAnsi="Arial" w:cs="Arial"/>
                <w:b w:val="0"/>
                <w:sz w:val="22"/>
              </w:rPr>
              <w:t xml:space="preserve">  </w:t>
            </w:r>
          </w:p>
          <w:p w:rsidR="00090FBD" w:rsidRPr="00AE65B8" w:rsidRDefault="00C77C07">
            <w:pPr>
              <w:rPr>
                <w:rFonts w:ascii="Arial" w:hAnsi="Arial" w:cs="Arial"/>
                <w:sz w:val="22"/>
              </w:rPr>
            </w:pPr>
            <w:r w:rsidRPr="00AE65B8">
              <w:rPr>
                <w:rFonts w:ascii="Arial" w:hAnsi="Arial" w:cs="Arial"/>
                <w:b w:val="0"/>
                <w:sz w:val="22"/>
              </w:rPr>
              <w:t xml:space="preserve"> </w:t>
            </w:r>
          </w:p>
          <w:p w:rsidR="00090FBD" w:rsidRPr="00AE65B8" w:rsidRDefault="00C77C07">
            <w:pPr>
              <w:spacing w:after="238" w:line="242" w:lineRule="auto"/>
              <w:rPr>
                <w:rFonts w:ascii="Arial" w:hAnsi="Arial" w:cs="Arial"/>
                <w:sz w:val="22"/>
              </w:rPr>
            </w:pPr>
            <w:r w:rsidRPr="00AE65B8">
              <w:rPr>
                <w:rFonts w:ascii="Arial" w:hAnsi="Arial" w:cs="Arial"/>
                <w:b w:val="0"/>
                <w:sz w:val="22"/>
              </w:rPr>
              <w:t xml:space="preserve">or calling their helpline Tel: 0303 123 1113 (local rate) or 01625 545 745 (national rate)  </w:t>
            </w:r>
          </w:p>
          <w:p w:rsidR="00090FBD" w:rsidRPr="00AE65B8" w:rsidRDefault="00C77C07">
            <w:pPr>
              <w:rPr>
                <w:rFonts w:ascii="Arial" w:hAnsi="Arial" w:cs="Arial"/>
                <w:sz w:val="22"/>
              </w:rPr>
            </w:pPr>
            <w:r w:rsidRPr="00AE65B8">
              <w:rPr>
                <w:rFonts w:ascii="Arial" w:hAnsi="Arial" w:cs="Arial"/>
                <w:b w:val="0"/>
                <w:sz w:val="22"/>
              </w:rPr>
              <w:t>There are National Offices for Scotland, Northern Irela</w:t>
            </w:r>
            <w:r w:rsidR="00AE65B8">
              <w:rPr>
                <w:rFonts w:ascii="Arial" w:hAnsi="Arial" w:cs="Arial"/>
                <w:b w:val="0"/>
                <w:sz w:val="22"/>
              </w:rPr>
              <w:t>nd and Wales, (see ICO website)</w:t>
            </w:r>
          </w:p>
        </w:tc>
      </w:tr>
    </w:tbl>
    <w:p w:rsidR="00090FBD" w:rsidRPr="00AE65B8" w:rsidRDefault="00C77C07">
      <w:pPr>
        <w:rPr>
          <w:rFonts w:ascii="Arial" w:hAnsi="Arial" w:cs="Arial"/>
          <w:sz w:val="22"/>
        </w:rPr>
      </w:pPr>
      <w:r w:rsidRPr="00AE65B8">
        <w:rPr>
          <w:rFonts w:ascii="Arial" w:hAnsi="Arial" w:cs="Arial"/>
          <w:b w:val="0"/>
          <w:sz w:val="22"/>
        </w:rPr>
        <w:t xml:space="preserve"> </w:t>
      </w:r>
    </w:p>
    <w:sectPr w:rsidR="00090FBD" w:rsidRPr="00AE65B8">
      <w:pgSz w:w="11906" w:h="16838"/>
      <w:pgMar w:top="270" w:right="7183" w:bottom="476"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BD"/>
    <w:rsid w:val="00090FBD"/>
    <w:rsid w:val="00111E09"/>
    <w:rsid w:val="003A0DF5"/>
    <w:rsid w:val="004D39F7"/>
    <w:rsid w:val="008802E5"/>
    <w:rsid w:val="00904367"/>
    <w:rsid w:val="009C64F8"/>
    <w:rsid w:val="00AE65B8"/>
    <w:rsid w:val="00C77C07"/>
    <w:rsid w:val="00D7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51EF6-B61D-4C56-AAA9-0F0771A7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7C07"/>
    <w:rPr>
      <w:color w:val="0000FF"/>
      <w:u w:val="single"/>
    </w:rPr>
  </w:style>
  <w:style w:type="character" w:styleId="FollowedHyperlink">
    <w:name w:val="FollowedHyperlink"/>
    <w:basedOn w:val="DefaultParagraphFont"/>
    <w:uiPriority w:val="99"/>
    <w:semiHidden/>
    <w:unhideWhenUsed/>
    <w:rsid w:val="009043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webSettings" Target="webSettings.xml"/><Relationship Id="rId7" Type="http://schemas.openxmlformats.org/officeDocument/2006/relationships/hyperlink" Target="https://ico.org.uk/global/contact-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11" Type="http://schemas.openxmlformats.org/officeDocument/2006/relationships/fontTable" Target="fontTable.xml"/><Relationship Id="rId5" Type="http://schemas.openxmlformats.org/officeDocument/2006/relationships/hyperlink" Target="https://webarchive.nationalarchives.gov.uk/20160729133648/http:/systems.hscic.gov.uk/infogov/iga/rmcop16718.pdf" TargetMode="External"/><Relationship Id="rId10" Type="http://schemas.openxmlformats.org/officeDocument/2006/relationships/hyperlink" Target="https://ico.org.uk/global/contact-us/" TargetMode="External"/><Relationship Id="rId4" Type="http://schemas.openxmlformats.org/officeDocument/2006/relationships/hyperlink" Target="https://www.emishealth.com/legal/" TargetMode="Externa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D794CBF3</Template>
  <TotalTime>0</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Bradley</dc:creator>
  <cp:keywords/>
  <cp:lastModifiedBy>Helen  Jenkins</cp:lastModifiedBy>
  <cp:revision>2</cp:revision>
  <dcterms:created xsi:type="dcterms:W3CDTF">2019-05-14T08:54:00Z</dcterms:created>
  <dcterms:modified xsi:type="dcterms:W3CDTF">2019-05-14T08:54:00Z</dcterms:modified>
</cp:coreProperties>
</file>