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D3" w:rsidRDefault="0051510B" w:rsidP="009340DB">
      <w:pPr>
        <w:jc w:val="both"/>
        <w:rPr>
          <w:rFonts w:cs="Arial"/>
          <w:sz w:val="28"/>
          <w:szCs w:val="22"/>
        </w:rPr>
      </w:pPr>
      <w:bookmarkStart w:id="0" w:name="_Toc199127149"/>
      <w:bookmarkStart w:id="1" w:name="_Toc206833332"/>
      <w:bookmarkStart w:id="2" w:name="_Toc245098162"/>
      <w:bookmarkStart w:id="3" w:name="_Toc199125602"/>
      <w:bookmarkStart w:id="4" w:name="_Toc205113468"/>
      <w:bookmarkStart w:id="5" w:name="_GoBack"/>
      <w:bookmarkEnd w:id="5"/>
      <w:r>
        <w:rPr>
          <w:noProof/>
          <w:lang w:eastAsia="en-GB"/>
        </w:rPr>
        <w:drawing>
          <wp:anchor distT="0" distB="0" distL="114300" distR="114300" simplePos="0" relativeHeight="251658240" behindDoc="1" locked="0" layoutInCell="1" allowOverlap="1">
            <wp:simplePos x="0" y="0"/>
            <wp:positionH relativeFrom="column">
              <wp:posOffset>3448050</wp:posOffset>
            </wp:positionH>
            <wp:positionV relativeFrom="line">
              <wp:posOffset>178435</wp:posOffset>
            </wp:positionV>
            <wp:extent cx="2777490" cy="409575"/>
            <wp:effectExtent l="0" t="0" r="3810" b="9525"/>
            <wp:wrapTight wrapText="bothSides">
              <wp:wrapPolygon edited="0">
                <wp:start x="593" y="0"/>
                <wp:lineTo x="0" y="4019"/>
                <wp:lineTo x="0" y="17079"/>
                <wp:lineTo x="593" y="21098"/>
                <wp:lineTo x="2370" y="21098"/>
                <wp:lineTo x="21481" y="17079"/>
                <wp:lineTo x="21481" y="4019"/>
                <wp:lineTo x="2370" y="0"/>
                <wp:lineTo x="593"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77490" cy="409575"/>
                    </a:xfrm>
                    <a:prstGeom prst="rect">
                      <a:avLst/>
                    </a:prstGeom>
                  </pic:spPr>
                </pic:pic>
              </a:graphicData>
            </a:graphic>
            <wp14:sizeRelH relativeFrom="page">
              <wp14:pctWidth>0</wp14:pctWidth>
            </wp14:sizeRelH>
            <wp14:sizeRelV relativeFrom="page">
              <wp14:pctHeight>0</wp14:pctHeight>
            </wp14:sizeRelV>
          </wp:anchor>
        </w:drawing>
      </w:r>
    </w:p>
    <w:p w:rsidR="00D2260A" w:rsidRDefault="00D2260A" w:rsidP="009340DB">
      <w:pPr>
        <w:jc w:val="both"/>
        <w:rPr>
          <w:rFonts w:cs="Arial"/>
          <w:sz w:val="28"/>
          <w:szCs w:val="22"/>
        </w:rPr>
      </w:pPr>
    </w:p>
    <w:p w:rsidR="00D2260A" w:rsidRPr="009340DB" w:rsidRDefault="00D2260A" w:rsidP="009340DB">
      <w:pPr>
        <w:jc w:val="both"/>
        <w:rPr>
          <w:rFonts w:cs="Arial"/>
          <w:sz w:val="28"/>
          <w:szCs w:val="22"/>
        </w:rPr>
      </w:pPr>
    </w:p>
    <w:p w:rsidR="002B55D3" w:rsidRPr="009340DB" w:rsidRDefault="002B55D3" w:rsidP="009340DB">
      <w:pPr>
        <w:rPr>
          <w:rFonts w:cs="Arial"/>
          <w:sz w:val="28"/>
          <w:szCs w:val="22"/>
        </w:rPr>
      </w:pPr>
    </w:p>
    <w:p w:rsidR="002B55D3" w:rsidRPr="009340DB" w:rsidRDefault="002B55D3" w:rsidP="009340DB">
      <w:pPr>
        <w:rPr>
          <w:rFonts w:cs="Arial"/>
          <w:sz w:val="28"/>
          <w:szCs w:val="22"/>
        </w:rPr>
      </w:pPr>
    </w:p>
    <w:p w:rsidR="002B55D3" w:rsidRPr="009340DB" w:rsidRDefault="002B55D3" w:rsidP="009340DB">
      <w:pPr>
        <w:rPr>
          <w:rFonts w:cs="Arial"/>
          <w:sz w:val="28"/>
          <w:szCs w:val="22"/>
        </w:rPr>
      </w:pPr>
    </w:p>
    <w:p w:rsidR="002B55D3" w:rsidRPr="009340DB" w:rsidRDefault="002B55D3" w:rsidP="009340DB">
      <w:pPr>
        <w:rPr>
          <w:rFonts w:cs="Arial"/>
          <w:sz w:val="28"/>
          <w:szCs w:val="22"/>
        </w:rPr>
      </w:pPr>
    </w:p>
    <w:p w:rsidR="002B55D3" w:rsidRDefault="002B55D3" w:rsidP="009340DB">
      <w:pPr>
        <w:rPr>
          <w:rFonts w:cs="Arial"/>
          <w:sz w:val="28"/>
          <w:szCs w:val="22"/>
        </w:rPr>
      </w:pPr>
    </w:p>
    <w:p w:rsidR="00741A6E" w:rsidRDefault="00741A6E" w:rsidP="009340DB">
      <w:pPr>
        <w:rPr>
          <w:rFonts w:cs="Arial"/>
          <w:sz w:val="28"/>
          <w:szCs w:val="22"/>
        </w:rPr>
      </w:pPr>
    </w:p>
    <w:p w:rsidR="0063537B" w:rsidRDefault="0063537B" w:rsidP="009340DB">
      <w:pPr>
        <w:rPr>
          <w:rFonts w:cs="Arial"/>
          <w:sz w:val="28"/>
          <w:szCs w:val="22"/>
        </w:rPr>
      </w:pPr>
    </w:p>
    <w:p w:rsidR="0063537B" w:rsidRDefault="0063537B" w:rsidP="009340DB">
      <w:pPr>
        <w:rPr>
          <w:rFonts w:cs="Arial"/>
          <w:sz w:val="28"/>
          <w:szCs w:val="22"/>
        </w:rPr>
      </w:pPr>
    </w:p>
    <w:p w:rsidR="00741A6E" w:rsidRDefault="00741A6E" w:rsidP="009340DB">
      <w:pPr>
        <w:rPr>
          <w:rFonts w:cs="Arial"/>
          <w:sz w:val="28"/>
          <w:szCs w:val="22"/>
        </w:rPr>
      </w:pPr>
    </w:p>
    <w:p w:rsidR="00741A6E" w:rsidRDefault="00741A6E" w:rsidP="009340DB">
      <w:pPr>
        <w:rPr>
          <w:rFonts w:cs="Arial"/>
          <w:sz w:val="28"/>
          <w:szCs w:val="22"/>
        </w:rPr>
      </w:pPr>
    </w:p>
    <w:p w:rsidR="0063537B" w:rsidRDefault="0063537B" w:rsidP="009340DB">
      <w:pPr>
        <w:rPr>
          <w:rFonts w:cs="Arial"/>
          <w:sz w:val="28"/>
          <w:szCs w:val="22"/>
        </w:rPr>
      </w:pPr>
    </w:p>
    <w:p w:rsidR="00741A6E" w:rsidRPr="009340DB" w:rsidRDefault="00741A6E" w:rsidP="009340DB">
      <w:pPr>
        <w:rPr>
          <w:rFonts w:cs="Arial"/>
          <w:sz w:val="28"/>
          <w:szCs w:val="22"/>
        </w:rPr>
      </w:pPr>
    </w:p>
    <w:p w:rsidR="002B55D3" w:rsidRDefault="002B55D3" w:rsidP="009340DB">
      <w:pPr>
        <w:rPr>
          <w:rFonts w:cs="Arial"/>
          <w:sz w:val="28"/>
          <w:szCs w:val="22"/>
        </w:rPr>
      </w:pPr>
    </w:p>
    <w:p w:rsidR="004B2469" w:rsidRPr="009340DB" w:rsidRDefault="004B2469" w:rsidP="009340DB">
      <w:pPr>
        <w:rPr>
          <w:rFonts w:cs="Arial"/>
          <w:sz w:val="28"/>
          <w:szCs w:val="22"/>
        </w:rPr>
      </w:pPr>
    </w:p>
    <w:p w:rsidR="00741A6E" w:rsidRPr="00101651" w:rsidRDefault="00D75330" w:rsidP="009340DB">
      <w:pPr>
        <w:rPr>
          <w:rFonts w:eastAsia="Times New Roman" w:cs="Arial"/>
          <w:color w:val="424FB3"/>
          <w:sz w:val="48"/>
          <w:szCs w:val="48"/>
          <w:lang w:eastAsia="en-US"/>
        </w:rPr>
      </w:pPr>
      <w:r>
        <w:rPr>
          <w:rFonts w:eastAsia="Times New Roman" w:cs="Arial"/>
          <w:color w:val="424FB3"/>
          <w:sz w:val="48"/>
          <w:szCs w:val="48"/>
          <w:lang w:eastAsia="en-US"/>
        </w:rPr>
        <w:t>St Ann’s Hospice Pension</w:t>
      </w:r>
      <w:r w:rsidR="00074143">
        <w:rPr>
          <w:rFonts w:eastAsia="Times New Roman" w:cs="Arial"/>
          <w:color w:val="424FB3"/>
          <w:sz w:val="48"/>
          <w:szCs w:val="48"/>
          <w:lang w:eastAsia="en-US"/>
        </w:rPr>
        <w:t xml:space="preserve"> Scheme</w:t>
      </w:r>
    </w:p>
    <w:p w:rsidR="002B55D3" w:rsidRPr="00101651" w:rsidRDefault="002B55D3" w:rsidP="009340DB">
      <w:pPr>
        <w:rPr>
          <w:rFonts w:cs="Arial"/>
          <w:color w:val="424FB3"/>
          <w:sz w:val="28"/>
          <w:szCs w:val="22"/>
        </w:rPr>
      </w:pPr>
    </w:p>
    <w:p w:rsidR="0063537B" w:rsidRPr="00101651" w:rsidRDefault="0063537B" w:rsidP="009340DB">
      <w:pPr>
        <w:rPr>
          <w:rFonts w:cs="Arial"/>
          <w:color w:val="424FB3"/>
          <w:sz w:val="28"/>
          <w:szCs w:val="22"/>
        </w:rPr>
      </w:pPr>
    </w:p>
    <w:p w:rsidR="00741A6E" w:rsidRPr="00101651" w:rsidRDefault="00741A6E" w:rsidP="009340DB">
      <w:pPr>
        <w:rPr>
          <w:rFonts w:cs="Arial"/>
          <w:color w:val="424FB3"/>
          <w:sz w:val="28"/>
          <w:szCs w:val="22"/>
        </w:rPr>
      </w:pPr>
    </w:p>
    <w:p w:rsidR="002B55D3" w:rsidRPr="00101651" w:rsidRDefault="002B55D3" w:rsidP="009340DB">
      <w:pPr>
        <w:rPr>
          <w:rFonts w:cs="Arial"/>
          <w:color w:val="424FB3"/>
          <w:sz w:val="28"/>
          <w:szCs w:val="22"/>
        </w:rPr>
      </w:pPr>
    </w:p>
    <w:p w:rsidR="002B55D3" w:rsidRPr="00101651" w:rsidRDefault="002B55D3" w:rsidP="009340DB">
      <w:pPr>
        <w:rPr>
          <w:rFonts w:eastAsia="Times New Roman" w:cs="Arial"/>
          <w:bCs/>
          <w:color w:val="424FB3"/>
          <w:sz w:val="48"/>
          <w:szCs w:val="48"/>
          <w:lang w:eastAsia="en-US"/>
        </w:rPr>
      </w:pPr>
      <w:r w:rsidRPr="00101651">
        <w:rPr>
          <w:rFonts w:eastAsia="Times New Roman" w:cs="Arial"/>
          <w:bCs/>
          <w:color w:val="424FB3"/>
          <w:sz w:val="48"/>
          <w:szCs w:val="48"/>
          <w:lang w:eastAsia="en-US"/>
        </w:rPr>
        <w:t>Statement of Investment Principles</w:t>
      </w:r>
    </w:p>
    <w:p w:rsidR="00741A6E" w:rsidRPr="00101651" w:rsidRDefault="00741A6E" w:rsidP="00741A6E">
      <w:pPr>
        <w:rPr>
          <w:rFonts w:cs="Arial"/>
          <w:color w:val="424FB3"/>
          <w:sz w:val="28"/>
          <w:szCs w:val="22"/>
        </w:rPr>
      </w:pPr>
    </w:p>
    <w:p w:rsidR="002B55D3" w:rsidRPr="00101651" w:rsidRDefault="002B55D3" w:rsidP="009340DB">
      <w:pPr>
        <w:rPr>
          <w:rFonts w:cs="Arial"/>
          <w:color w:val="424FB3"/>
          <w:sz w:val="28"/>
          <w:szCs w:val="22"/>
        </w:rPr>
      </w:pPr>
    </w:p>
    <w:p w:rsidR="00741A6E" w:rsidRPr="00101651" w:rsidRDefault="00741A6E" w:rsidP="009340DB">
      <w:pPr>
        <w:rPr>
          <w:rFonts w:cs="Arial"/>
          <w:color w:val="424FB3"/>
          <w:sz w:val="28"/>
          <w:szCs w:val="22"/>
        </w:rPr>
      </w:pPr>
    </w:p>
    <w:p w:rsidR="0063537B" w:rsidRPr="00101651" w:rsidRDefault="0063537B" w:rsidP="009340DB">
      <w:pPr>
        <w:rPr>
          <w:rFonts w:cs="Arial"/>
          <w:color w:val="424FB3"/>
          <w:sz w:val="28"/>
          <w:szCs w:val="22"/>
        </w:rPr>
      </w:pPr>
    </w:p>
    <w:p w:rsidR="0063537B" w:rsidRPr="00101651" w:rsidRDefault="0063537B" w:rsidP="009340DB">
      <w:pPr>
        <w:rPr>
          <w:rFonts w:cs="Arial"/>
          <w:color w:val="424FB3"/>
          <w:sz w:val="28"/>
          <w:szCs w:val="22"/>
        </w:rPr>
      </w:pPr>
    </w:p>
    <w:p w:rsidR="0063537B" w:rsidRPr="00101651" w:rsidRDefault="0063537B" w:rsidP="009340DB">
      <w:pPr>
        <w:rPr>
          <w:rFonts w:cs="Arial"/>
          <w:color w:val="424FB3"/>
          <w:sz w:val="28"/>
          <w:szCs w:val="22"/>
        </w:rPr>
      </w:pPr>
    </w:p>
    <w:p w:rsidR="0063537B" w:rsidRPr="00101651" w:rsidRDefault="0063537B" w:rsidP="009340DB">
      <w:pPr>
        <w:rPr>
          <w:rFonts w:cs="Arial"/>
          <w:color w:val="424FB3"/>
          <w:sz w:val="28"/>
          <w:szCs w:val="22"/>
        </w:rPr>
      </w:pPr>
    </w:p>
    <w:p w:rsidR="0063537B" w:rsidRPr="00101651" w:rsidRDefault="0063537B" w:rsidP="009340DB">
      <w:pPr>
        <w:rPr>
          <w:rFonts w:cs="Arial"/>
          <w:color w:val="424FB3"/>
          <w:sz w:val="28"/>
          <w:szCs w:val="22"/>
        </w:rPr>
      </w:pPr>
    </w:p>
    <w:p w:rsidR="0063537B" w:rsidRPr="00101651" w:rsidRDefault="0063537B" w:rsidP="009340DB">
      <w:pPr>
        <w:rPr>
          <w:rFonts w:cs="Arial"/>
          <w:color w:val="424FB3"/>
          <w:sz w:val="28"/>
          <w:szCs w:val="22"/>
        </w:rPr>
      </w:pPr>
    </w:p>
    <w:p w:rsidR="0063537B" w:rsidRPr="00101651" w:rsidRDefault="0063537B" w:rsidP="009340DB">
      <w:pPr>
        <w:rPr>
          <w:rFonts w:cs="Arial"/>
          <w:color w:val="424FB3"/>
          <w:sz w:val="28"/>
          <w:szCs w:val="22"/>
        </w:rPr>
      </w:pPr>
    </w:p>
    <w:p w:rsidR="0063537B" w:rsidRPr="00101651" w:rsidRDefault="0063537B" w:rsidP="009340DB">
      <w:pPr>
        <w:rPr>
          <w:rFonts w:cs="Arial"/>
          <w:color w:val="424FB3"/>
          <w:sz w:val="28"/>
          <w:szCs w:val="22"/>
        </w:rPr>
      </w:pPr>
    </w:p>
    <w:p w:rsidR="002B55D3" w:rsidRPr="00101651" w:rsidRDefault="002B55D3" w:rsidP="009340DB">
      <w:pPr>
        <w:rPr>
          <w:rFonts w:cs="Arial"/>
          <w:color w:val="424FB3"/>
          <w:sz w:val="28"/>
          <w:szCs w:val="22"/>
        </w:rPr>
      </w:pPr>
    </w:p>
    <w:p w:rsidR="0063537B" w:rsidRPr="00101651" w:rsidRDefault="0063537B" w:rsidP="009340DB">
      <w:pPr>
        <w:rPr>
          <w:rFonts w:cs="Arial"/>
          <w:color w:val="424FB3"/>
          <w:sz w:val="28"/>
          <w:szCs w:val="22"/>
        </w:rPr>
      </w:pPr>
    </w:p>
    <w:p w:rsidR="0063537B" w:rsidRPr="00101651" w:rsidRDefault="0063537B" w:rsidP="009340DB">
      <w:pPr>
        <w:rPr>
          <w:rFonts w:cs="Arial"/>
          <w:color w:val="424FB3"/>
          <w:sz w:val="28"/>
          <w:szCs w:val="22"/>
        </w:rPr>
      </w:pPr>
    </w:p>
    <w:p w:rsidR="002B55D3" w:rsidRDefault="00C54494" w:rsidP="009340DB">
      <w:pPr>
        <w:rPr>
          <w:rFonts w:cs="Arial"/>
          <w:color w:val="424FB3"/>
          <w:sz w:val="44"/>
          <w:szCs w:val="44"/>
        </w:rPr>
      </w:pPr>
      <w:r>
        <w:rPr>
          <w:rFonts w:cs="Arial"/>
          <w:color w:val="424FB3"/>
          <w:sz w:val="44"/>
          <w:szCs w:val="44"/>
        </w:rPr>
        <w:t>September 2020</w:t>
      </w:r>
    </w:p>
    <w:p w:rsidR="00974E6D" w:rsidRDefault="00974E6D" w:rsidP="009340DB">
      <w:pPr>
        <w:rPr>
          <w:rFonts w:cs="Arial"/>
          <w:color w:val="424FB3"/>
          <w:sz w:val="44"/>
          <w:szCs w:val="44"/>
        </w:rPr>
      </w:pPr>
    </w:p>
    <w:p w:rsidR="00974E6D" w:rsidRDefault="00974E6D" w:rsidP="009340DB">
      <w:pPr>
        <w:rPr>
          <w:rFonts w:cs="Arial"/>
          <w:color w:val="424FB3"/>
          <w:sz w:val="44"/>
          <w:szCs w:val="44"/>
        </w:rPr>
      </w:pPr>
    </w:p>
    <w:p w:rsidR="00974E6D" w:rsidRDefault="00974E6D" w:rsidP="009340DB">
      <w:pPr>
        <w:rPr>
          <w:rFonts w:cs="Arial"/>
          <w:color w:val="424FB3"/>
          <w:sz w:val="44"/>
          <w:szCs w:val="44"/>
        </w:rPr>
      </w:pPr>
    </w:p>
    <w:p w:rsidR="00974E6D" w:rsidRPr="00101651" w:rsidRDefault="00974E6D" w:rsidP="009340DB">
      <w:pPr>
        <w:rPr>
          <w:rFonts w:cs="Arial"/>
          <w:color w:val="424FB3"/>
          <w:sz w:val="44"/>
          <w:szCs w:val="44"/>
        </w:rPr>
      </w:pPr>
    </w:p>
    <w:bookmarkEnd w:id="0"/>
    <w:bookmarkEnd w:id="1"/>
    <w:bookmarkEnd w:id="2"/>
    <w:p w:rsidR="00634CB2" w:rsidRPr="00101651" w:rsidRDefault="00741A6E" w:rsidP="00074143">
      <w:pPr>
        <w:numPr>
          <w:ilvl w:val="0"/>
          <w:numId w:val="1"/>
        </w:numPr>
        <w:spacing w:line="300" w:lineRule="exact"/>
        <w:ind w:left="567" w:hanging="567"/>
        <w:rPr>
          <w:rFonts w:cs="Arial"/>
          <w:bCs/>
          <w:color w:val="6A2C91"/>
          <w:sz w:val="28"/>
          <w:szCs w:val="28"/>
        </w:rPr>
      </w:pPr>
      <w:r w:rsidRPr="00634CB2">
        <w:rPr>
          <w:rFonts w:ascii="Gotham Medium" w:hAnsi="Gotham Medium" w:cs="Arial"/>
          <w:bCs/>
          <w:color w:val="00AE9E"/>
          <w:sz w:val="28"/>
          <w:szCs w:val="28"/>
        </w:rPr>
        <w:br w:type="page"/>
      </w:r>
      <w:r w:rsidR="00634CB2" w:rsidRPr="00101651">
        <w:rPr>
          <w:rFonts w:cs="Arial"/>
          <w:bCs/>
          <w:color w:val="424FB3"/>
          <w:sz w:val="28"/>
          <w:szCs w:val="28"/>
        </w:rPr>
        <w:lastRenderedPageBreak/>
        <w:t>Introduction</w:t>
      </w:r>
    </w:p>
    <w:p w:rsidR="0031406C" w:rsidRPr="00634CB2" w:rsidRDefault="0031406C" w:rsidP="00634CB2">
      <w:pPr>
        <w:spacing w:line="300" w:lineRule="exact"/>
        <w:rPr>
          <w:rFonts w:ascii="Gotham Book" w:hAnsi="Gotham Book" w:cs="Arial"/>
          <w:bCs/>
          <w:sz w:val="20"/>
        </w:rPr>
      </w:pPr>
    </w:p>
    <w:p w:rsidR="004B2469" w:rsidRPr="00101651" w:rsidRDefault="004B2469" w:rsidP="000466B9">
      <w:pPr>
        <w:spacing w:line="300" w:lineRule="exact"/>
        <w:jc w:val="both"/>
        <w:rPr>
          <w:rFonts w:cs="Arial"/>
          <w:sz w:val="20"/>
          <w:szCs w:val="20"/>
        </w:rPr>
      </w:pPr>
      <w:r w:rsidRPr="00101651">
        <w:rPr>
          <w:rFonts w:cs="Arial"/>
          <w:sz w:val="20"/>
          <w:szCs w:val="20"/>
        </w:rPr>
        <w:t>This Statement of Investment Principles has been drawn up by</w:t>
      </w:r>
      <w:r w:rsidR="001566F8">
        <w:rPr>
          <w:rFonts w:cs="Arial"/>
          <w:sz w:val="20"/>
          <w:szCs w:val="20"/>
        </w:rPr>
        <w:t xml:space="preserve"> the</w:t>
      </w:r>
      <w:r w:rsidRPr="00101651">
        <w:rPr>
          <w:rFonts w:cs="Arial"/>
          <w:sz w:val="20"/>
          <w:szCs w:val="20"/>
        </w:rPr>
        <w:t xml:space="preserve"> </w:t>
      </w:r>
      <w:r w:rsidR="004344F4" w:rsidRPr="00101651">
        <w:rPr>
          <w:rFonts w:cs="Arial"/>
          <w:sz w:val="20"/>
          <w:szCs w:val="20"/>
        </w:rPr>
        <w:t>Trustee</w:t>
      </w:r>
      <w:r w:rsidR="00C0490C">
        <w:rPr>
          <w:rFonts w:cs="Arial"/>
          <w:sz w:val="20"/>
          <w:szCs w:val="20"/>
        </w:rPr>
        <w:t>s</w:t>
      </w:r>
      <w:r w:rsidR="004344F4" w:rsidRPr="00101651">
        <w:rPr>
          <w:rFonts w:cs="Arial"/>
          <w:sz w:val="20"/>
          <w:szCs w:val="20"/>
        </w:rPr>
        <w:t xml:space="preserve"> </w:t>
      </w:r>
      <w:r w:rsidRPr="00101651">
        <w:rPr>
          <w:rFonts w:cs="Arial"/>
          <w:sz w:val="20"/>
          <w:szCs w:val="20"/>
        </w:rPr>
        <w:t xml:space="preserve">of the </w:t>
      </w:r>
      <w:r w:rsidR="00D75330">
        <w:rPr>
          <w:rFonts w:cs="Arial"/>
          <w:sz w:val="20"/>
          <w:szCs w:val="20"/>
        </w:rPr>
        <w:t xml:space="preserve">St Ann’s Hospice Pension Scheme </w:t>
      </w:r>
      <w:r w:rsidRPr="00101651">
        <w:rPr>
          <w:rFonts w:cs="Arial"/>
          <w:sz w:val="20"/>
          <w:szCs w:val="20"/>
        </w:rPr>
        <w:t>(</w:t>
      </w:r>
      <w:r w:rsidR="009A5DDD">
        <w:rPr>
          <w:rFonts w:cs="Arial"/>
          <w:sz w:val="20"/>
          <w:szCs w:val="20"/>
        </w:rPr>
        <w:t xml:space="preserve">‘the Trustees’, </w:t>
      </w:r>
      <w:r w:rsidR="00FE500B" w:rsidRPr="00101651">
        <w:rPr>
          <w:rFonts w:cs="Arial"/>
          <w:sz w:val="20"/>
          <w:szCs w:val="20"/>
        </w:rPr>
        <w:t>‘t</w:t>
      </w:r>
      <w:r w:rsidRPr="00101651">
        <w:rPr>
          <w:rFonts w:cs="Arial"/>
          <w:sz w:val="20"/>
          <w:szCs w:val="20"/>
        </w:rPr>
        <w:t xml:space="preserve">he </w:t>
      </w:r>
      <w:r w:rsidR="00074143">
        <w:rPr>
          <w:rFonts w:cs="Arial"/>
          <w:sz w:val="20"/>
          <w:szCs w:val="20"/>
        </w:rPr>
        <w:t>Scheme</w:t>
      </w:r>
      <w:r w:rsidR="00FE500B" w:rsidRPr="00101651">
        <w:rPr>
          <w:rFonts w:cs="Arial"/>
          <w:sz w:val="20"/>
          <w:szCs w:val="20"/>
        </w:rPr>
        <w:t>’</w:t>
      </w:r>
      <w:r w:rsidRPr="00101651">
        <w:rPr>
          <w:rFonts w:cs="Arial"/>
          <w:sz w:val="20"/>
          <w:szCs w:val="20"/>
        </w:rPr>
        <w:t xml:space="preserve">) in accordance with Section 35 of the Pensions Act 1995, amended by Section 244 of the Pensions Act 2004 and the Occupational Pension </w:t>
      </w:r>
      <w:r w:rsidR="00074143">
        <w:rPr>
          <w:rFonts w:cs="Arial"/>
          <w:sz w:val="20"/>
          <w:szCs w:val="20"/>
        </w:rPr>
        <w:t>Scheme</w:t>
      </w:r>
      <w:r w:rsidRPr="00101651">
        <w:rPr>
          <w:rFonts w:cs="Arial"/>
          <w:sz w:val="20"/>
          <w:szCs w:val="20"/>
        </w:rPr>
        <w:t xml:space="preserve">s (Investment) Regulations 2005. </w:t>
      </w:r>
    </w:p>
    <w:p w:rsidR="00CD472D" w:rsidRDefault="00CD472D" w:rsidP="00F069D6">
      <w:pPr>
        <w:spacing w:line="300" w:lineRule="exact"/>
        <w:jc w:val="both"/>
        <w:rPr>
          <w:rFonts w:ascii="Gotham Book" w:hAnsi="Gotham Book" w:cs="Arial"/>
          <w:sz w:val="20"/>
          <w:szCs w:val="20"/>
        </w:rPr>
      </w:pPr>
    </w:p>
    <w:p w:rsidR="00634CB2" w:rsidRPr="00101651" w:rsidRDefault="00A3463E" w:rsidP="00074143">
      <w:pPr>
        <w:numPr>
          <w:ilvl w:val="0"/>
          <w:numId w:val="1"/>
        </w:numPr>
        <w:spacing w:line="300" w:lineRule="exact"/>
        <w:ind w:left="567" w:hanging="567"/>
        <w:rPr>
          <w:rFonts w:cs="Arial"/>
          <w:bCs/>
          <w:color w:val="424FB3"/>
          <w:sz w:val="28"/>
          <w:szCs w:val="28"/>
        </w:rPr>
      </w:pPr>
      <w:r w:rsidRPr="00101651">
        <w:rPr>
          <w:rFonts w:cs="Arial"/>
          <w:bCs/>
          <w:color w:val="424FB3"/>
          <w:sz w:val="28"/>
          <w:szCs w:val="28"/>
        </w:rPr>
        <w:t xml:space="preserve">Investment Governance structure </w:t>
      </w:r>
    </w:p>
    <w:p w:rsidR="00634CB2" w:rsidRPr="00A13257" w:rsidRDefault="00634CB2" w:rsidP="00634CB2">
      <w:pPr>
        <w:spacing w:line="300" w:lineRule="exact"/>
        <w:jc w:val="both"/>
        <w:rPr>
          <w:rFonts w:ascii="Gotham Book" w:hAnsi="Gotham Book"/>
          <w:sz w:val="20"/>
          <w:szCs w:val="20"/>
        </w:rPr>
      </w:pPr>
    </w:p>
    <w:p w:rsidR="00634CB2" w:rsidRPr="00101651" w:rsidRDefault="0011604F" w:rsidP="00634CB2">
      <w:pPr>
        <w:spacing w:line="300" w:lineRule="exact"/>
        <w:jc w:val="both"/>
        <w:rPr>
          <w:rFonts w:cs="Arial"/>
          <w:bCs/>
          <w:color w:val="424FB3"/>
          <w:sz w:val="24"/>
        </w:rPr>
      </w:pPr>
      <w:r w:rsidRPr="00101651">
        <w:rPr>
          <w:rFonts w:cs="Arial"/>
          <w:bCs/>
          <w:color w:val="424FB3"/>
          <w:sz w:val="24"/>
        </w:rPr>
        <w:t xml:space="preserve">The </w:t>
      </w:r>
      <w:r w:rsidR="00C0490C" w:rsidRPr="00C0490C">
        <w:rPr>
          <w:rFonts w:cs="Arial"/>
          <w:bCs/>
          <w:color w:val="424FB3"/>
          <w:sz w:val="24"/>
        </w:rPr>
        <w:t>Trustees</w:t>
      </w:r>
    </w:p>
    <w:p w:rsidR="00BF71C4" w:rsidRPr="00A13257" w:rsidRDefault="00BF71C4" w:rsidP="00A13257">
      <w:pPr>
        <w:spacing w:line="300" w:lineRule="exact"/>
        <w:jc w:val="both"/>
        <w:rPr>
          <w:rFonts w:ascii="Gotham Book" w:hAnsi="Gotham Book" w:cs="Arial"/>
          <w:sz w:val="20"/>
          <w:szCs w:val="20"/>
        </w:rPr>
      </w:pPr>
    </w:p>
    <w:p w:rsidR="00A13257" w:rsidRPr="00101651" w:rsidRDefault="00074143" w:rsidP="00A13257">
      <w:pPr>
        <w:spacing w:line="300" w:lineRule="exact"/>
        <w:jc w:val="both"/>
        <w:rPr>
          <w:rFonts w:cs="Arial"/>
          <w:sz w:val="20"/>
          <w:szCs w:val="20"/>
        </w:rPr>
      </w:pPr>
      <w:r>
        <w:rPr>
          <w:rFonts w:cs="Arial"/>
          <w:sz w:val="20"/>
          <w:szCs w:val="20"/>
        </w:rPr>
        <w:t>The investment of the Scheme</w:t>
      </w:r>
      <w:r w:rsidR="00A13257" w:rsidRPr="00101651">
        <w:rPr>
          <w:rFonts w:cs="Arial"/>
          <w:sz w:val="20"/>
          <w:szCs w:val="20"/>
        </w:rPr>
        <w:t>’s assets is th</w:t>
      </w:r>
      <w:r w:rsidR="004344F4" w:rsidRPr="00101651">
        <w:rPr>
          <w:rFonts w:cs="Arial"/>
          <w:sz w:val="20"/>
          <w:szCs w:val="20"/>
        </w:rPr>
        <w:t xml:space="preserve">e responsibility of the </w:t>
      </w:r>
      <w:r w:rsidR="00C0490C" w:rsidRPr="00C0490C">
        <w:rPr>
          <w:rFonts w:cs="Arial"/>
          <w:sz w:val="20"/>
          <w:szCs w:val="20"/>
        </w:rPr>
        <w:t>Trustees</w:t>
      </w:r>
      <w:r w:rsidR="00A13257" w:rsidRPr="00101651">
        <w:rPr>
          <w:rFonts w:cs="Arial"/>
          <w:sz w:val="20"/>
          <w:szCs w:val="20"/>
        </w:rPr>
        <w:t xml:space="preserve"> and th</w:t>
      </w:r>
      <w:r w:rsidR="004344F4" w:rsidRPr="00101651">
        <w:rPr>
          <w:rFonts w:cs="Arial"/>
          <w:sz w:val="20"/>
          <w:szCs w:val="20"/>
        </w:rPr>
        <w:t xml:space="preserve">e </w:t>
      </w:r>
      <w:r w:rsidR="0054408F">
        <w:rPr>
          <w:rFonts w:cs="Arial"/>
          <w:sz w:val="20"/>
          <w:szCs w:val="20"/>
        </w:rPr>
        <w:t>Scheme R</w:t>
      </w:r>
      <w:r w:rsidR="004344F4" w:rsidRPr="00101651">
        <w:rPr>
          <w:rFonts w:cs="Arial"/>
          <w:sz w:val="20"/>
          <w:szCs w:val="20"/>
        </w:rPr>
        <w:t xml:space="preserve">ules give the </w:t>
      </w:r>
      <w:r w:rsidR="00C0490C" w:rsidRPr="00C0490C">
        <w:rPr>
          <w:rFonts w:cs="Arial"/>
          <w:sz w:val="20"/>
          <w:szCs w:val="20"/>
        </w:rPr>
        <w:t>Trustees</w:t>
      </w:r>
      <w:r w:rsidR="0011604F" w:rsidRPr="00101651">
        <w:rPr>
          <w:rFonts w:cs="Arial"/>
          <w:sz w:val="20"/>
          <w:szCs w:val="20"/>
        </w:rPr>
        <w:t xml:space="preserve"> broad powers on investment. </w:t>
      </w:r>
      <w:r>
        <w:rPr>
          <w:rFonts w:cs="Arial"/>
          <w:sz w:val="20"/>
          <w:szCs w:val="20"/>
        </w:rPr>
        <w:t xml:space="preserve">As required under the Act, the Trustees have consulted </w:t>
      </w:r>
      <w:r w:rsidR="00D75330">
        <w:rPr>
          <w:rFonts w:cs="Arial"/>
          <w:sz w:val="20"/>
          <w:szCs w:val="20"/>
        </w:rPr>
        <w:t>St Ann’s Hospice</w:t>
      </w:r>
      <w:r>
        <w:rPr>
          <w:rFonts w:cs="Arial"/>
          <w:sz w:val="20"/>
          <w:szCs w:val="20"/>
        </w:rPr>
        <w:t xml:space="preserve"> (</w:t>
      </w:r>
      <w:r w:rsidR="00C0490C" w:rsidRPr="00694CB5">
        <w:rPr>
          <w:rFonts w:cs="Arial"/>
          <w:sz w:val="20"/>
          <w:szCs w:val="20"/>
        </w:rPr>
        <w:t>‘</w:t>
      </w:r>
      <w:r w:rsidR="00A13257" w:rsidRPr="00694CB5">
        <w:rPr>
          <w:rFonts w:cs="Arial"/>
          <w:sz w:val="20"/>
          <w:szCs w:val="20"/>
        </w:rPr>
        <w:t>the</w:t>
      </w:r>
      <w:r>
        <w:rPr>
          <w:rFonts w:cs="Arial"/>
          <w:sz w:val="20"/>
          <w:szCs w:val="20"/>
        </w:rPr>
        <w:t xml:space="preserve"> </w:t>
      </w:r>
      <w:r w:rsidR="00D75330">
        <w:rPr>
          <w:rFonts w:cs="Arial"/>
          <w:sz w:val="20"/>
          <w:szCs w:val="20"/>
        </w:rPr>
        <w:t>Hospice’</w:t>
      </w:r>
      <w:r w:rsidR="00C0490C" w:rsidRPr="00694CB5">
        <w:rPr>
          <w:rFonts w:cs="Arial"/>
          <w:sz w:val="20"/>
          <w:szCs w:val="20"/>
        </w:rPr>
        <w:t>)</w:t>
      </w:r>
      <w:r>
        <w:rPr>
          <w:rFonts w:cs="Arial"/>
          <w:sz w:val="20"/>
          <w:szCs w:val="20"/>
        </w:rPr>
        <w:t xml:space="preserve"> on any investment strategy underpinning the content of this statement</w:t>
      </w:r>
      <w:r w:rsidR="00A13257" w:rsidRPr="00694CB5">
        <w:rPr>
          <w:rFonts w:cs="Arial"/>
          <w:sz w:val="20"/>
          <w:szCs w:val="20"/>
        </w:rPr>
        <w:t>.</w:t>
      </w:r>
    </w:p>
    <w:p w:rsidR="00A13257" w:rsidRPr="00101651" w:rsidRDefault="00A13257" w:rsidP="00A13257">
      <w:pPr>
        <w:spacing w:line="300" w:lineRule="exact"/>
        <w:jc w:val="both"/>
        <w:rPr>
          <w:rFonts w:cs="Arial"/>
          <w:sz w:val="20"/>
          <w:szCs w:val="20"/>
        </w:rPr>
      </w:pPr>
    </w:p>
    <w:p w:rsidR="00A13257" w:rsidRPr="00101651" w:rsidRDefault="004344F4" w:rsidP="00A13257">
      <w:pPr>
        <w:spacing w:line="300" w:lineRule="exact"/>
        <w:jc w:val="both"/>
        <w:rPr>
          <w:rFonts w:cs="Arial"/>
          <w:sz w:val="20"/>
          <w:szCs w:val="20"/>
        </w:rPr>
      </w:pPr>
      <w:r w:rsidRPr="00606A97">
        <w:rPr>
          <w:rFonts w:cs="Arial"/>
          <w:sz w:val="20"/>
          <w:szCs w:val="20"/>
        </w:rPr>
        <w:t xml:space="preserve">The </w:t>
      </w:r>
      <w:r w:rsidR="00C0490C" w:rsidRPr="00606A97">
        <w:rPr>
          <w:rFonts w:cs="Arial"/>
          <w:sz w:val="20"/>
          <w:szCs w:val="20"/>
        </w:rPr>
        <w:t>Trustees’</w:t>
      </w:r>
      <w:r w:rsidR="00A13257" w:rsidRPr="00606A97">
        <w:rPr>
          <w:rFonts w:cs="Arial"/>
          <w:sz w:val="20"/>
          <w:szCs w:val="20"/>
        </w:rPr>
        <w:t xml:space="preserve"> policy is to seek professional advice on investment strategy. </w:t>
      </w:r>
      <w:r w:rsidR="000D1F3C">
        <w:rPr>
          <w:rFonts w:cs="Arial"/>
          <w:sz w:val="20"/>
          <w:szCs w:val="20"/>
        </w:rPr>
        <w:t>The Trustees</w:t>
      </w:r>
      <w:r w:rsidR="00A13257" w:rsidRPr="00606A97">
        <w:rPr>
          <w:rFonts w:cs="Arial"/>
          <w:sz w:val="20"/>
          <w:szCs w:val="20"/>
        </w:rPr>
        <w:t xml:space="preserve"> decide on the investment strategy after considering investment advice from the Investment Consultant.  The </w:t>
      </w:r>
      <w:r w:rsidR="00C0490C" w:rsidRPr="00606A97">
        <w:rPr>
          <w:rFonts w:cs="Arial"/>
          <w:sz w:val="20"/>
          <w:szCs w:val="20"/>
        </w:rPr>
        <w:t>Trustees</w:t>
      </w:r>
      <w:r w:rsidR="00A13257" w:rsidRPr="00606A97">
        <w:rPr>
          <w:rFonts w:cs="Arial"/>
          <w:sz w:val="20"/>
          <w:szCs w:val="20"/>
        </w:rPr>
        <w:t xml:space="preserve"> recognise that </w:t>
      </w:r>
      <w:r w:rsidR="007C0DD8" w:rsidRPr="00606A97">
        <w:rPr>
          <w:rFonts w:cs="Arial"/>
          <w:sz w:val="20"/>
          <w:szCs w:val="20"/>
        </w:rPr>
        <w:t>their</w:t>
      </w:r>
      <w:r w:rsidR="00A13257" w:rsidRPr="00606A97">
        <w:rPr>
          <w:rFonts w:cs="Arial"/>
          <w:sz w:val="20"/>
          <w:szCs w:val="20"/>
        </w:rPr>
        <w:t xml:space="preserve"> level of investment expertise must be kept under review in order to be able to critically evaluate this advice.</w:t>
      </w:r>
    </w:p>
    <w:p w:rsidR="00A13257" w:rsidRPr="00101651" w:rsidRDefault="00A13257" w:rsidP="00A13257">
      <w:pPr>
        <w:spacing w:line="300" w:lineRule="exact"/>
        <w:jc w:val="both"/>
        <w:rPr>
          <w:rFonts w:cs="Arial"/>
          <w:sz w:val="20"/>
          <w:szCs w:val="20"/>
        </w:rPr>
      </w:pPr>
    </w:p>
    <w:p w:rsidR="00A13257" w:rsidRPr="00101651" w:rsidRDefault="004344F4" w:rsidP="00A13257">
      <w:pPr>
        <w:spacing w:line="300" w:lineRule="exact"/>
        <w:jc w:val="both"/>
        <w:rPr>
          <w:rFonts w:cs="Arial"/>
          <w:sz w:val="20"/>
          <w:szCs w:val="20"/>
        </w:rPr>
      </w:pPr>
      <w:r w:rsidRPr="00101651">
        <w:rPr>
          <w:rFonts w:cs="Arial"/>
          <w:sz w:val="20"/>
          <w:szCs w:val="20"/>
        </w:rPr>
        <w:t xml:space="preserve">The </w:t>
      </w:r>
      <w:r w:rsidR="00C0490C" w:rsidRPr="00C0490C">
        <w:rPr>
          <w:rFonts w:cs="Arial"/>
          <w:sz w:val="20"/>
          <w:szCs w:val="20"/>
        </w:rPr>
        <w:t>Trustees</w:t>
      </w:r>
      <w:r w:rsidR="00A13257" w:rsidRPr="00101651">
        <w:rPr>
          <w:rFonts w:cs="Arial"/>
          <w:sz w:val="20"/>
          <w:szCs w:val="20"/>
        </w:rPr>
        <w:t xml:space="preserve"> meet regularly and ensure that adequate time is set aside to discuss investment issues.</w:t>
      </w:r>
      <w:r w:rsidR="00FE500B" w:rsidRPr="00101651">
        <w:rPr>
          <w:rFonts w:cs="Arial"/>
          <w:sz w:val="20"/>
          <w:szCs w:val="20"/>
        </w:rPr>
        <w:t xml:space="preserve"> </w:t>
      </w:r>
      <w:r w:rsidR="00A13257" w:rsidRPr="00101651">
        <w:rPr>
          <w:rFonts w:cs="Arial"/>
          <w:sz w:val="20"/>
          <w:szCs w:val="20"/>
        </w:rPr>
        <w:t xml:space="preserve"> In determining </w:t>
      </w:r>
      <w:r w:rsidR="007C0DD8">
        <w:rPr>
          <w:rFonts w:cs="Arial"/>
          <w:sz w:val="20"/>
          <w:szCs w:val="20"/>
        </w:rPr>
        <w:t>their</w:t>
      </w:r>
      <w:r w:rsidR="00A13257" w:rsidRPr="00101651">
        <w:rPr>
          <w:rFonts w:cs="Arial"/>
          <w:sz w:val="20"/>
          <w:szCs w:val="20"/>
        </w:rPr>
        <w:t xml:space="preserve"> investment strategy</w:t>
      </w:r>
      <w:r w:rsidR="00FE500B" w:rsidRPr="00101651">
        <w:rPr>
          <w:rFonts w:cs="Arial"/>
          <w:sz w:val="20"/>
          <w:szCs w:val="20"/>
        </w:rPr>
        <w:t>,</w:t>
      </w:r>
      <w:r w:rsidRPr="00101651">
        <w:rPr>
          <w:rFonts w:cs="Arial"/>
          <w:sz w:val="20"/>
          <w:szCs w:val="20"/>
        </w:rPr>
        <w:t xml:space="preserve"> the </w:t>
      </w:r>
      <w:r w:rsidR="00C0490C" w:rsidRPr="00C0490C">
        <w:rPr>
          <w:rFonts w:cs="Arial"/>
          <w:sz w:val="20"/>
          <w:szCs w:val="20"/>
        </w:rPr>
        <w:t>Trustees</w:t>
      </w:r>
      <w:r w:rsidR="00A13257" w:rsidRPr="00101651">
        <w:rPr>
          <w:rFonts w:cs="Arial"/>
          <w:sz w:val="20"/>
          <w:szCs w:val="20"/>
        </w:rPr>
        <w:t xml:space="preserve"> address the following:</w:t>
      </w:r>
    </w:p>
    <w:p w:rsidR="00A13257" w:rsidRPr="00101651" w:rsidRDefault="00A13257" w:rsidP="00A13257">
      <w:pPr>
        <w:spacing w:line="300" w:lineRule="exact"/>
        <w:jc w:val="both"/>
        <w:rPr>
          <w:rFonts w:cs="Arial"/>
          <w:sz w:val="20"/>
          <w:szCs w:val="20"/>
        </w:rPr>
      </w:pPr>
    </w:p>
    <w:p w:rsidR="00A13257" w:rsidRPr="00101651" w:rsidRDefault="00A13257" w:rsidP="00074143">
      <w:pPr>
        <w:pStyle w:val="ListParagraph"/>
        <w:numPr>
          <w:ilvl w:val="0"/>
          <w:numId w:val="2"/>
        </w:numPr>
        <w:spacing w:line="300" w:lineRule="exact"/>
        <w:ind w:left="567" w:hanging="567"/>
        <w:contextualSpacing/>
        <w:jc w:val="both"/>
        <w:rPr>
          <w:sz w:val="20"/>
          <w:szCs w:val="20"/>
        </w:rPr>
      </w:pPr>
      <w:r w:rsidRPr="00101651">
        <w:rPr>
          <w:sz w:val="20"/>
          <w:szCs w:val="20"/>
        </w:rPr>
        <w:t>the need to consider a full range of asset classes</w:t>
      </w:r>
    </w:p>
    <w:p w:rsidR="00A13257" w:rsidRPr="00101651" w:rsidRDefault="00A13257" w:rsidP="00074143">
      <w:pPr>
        <w:pStyle w:val="ListParagraph"/>
        <w:numPr>
          <w:ilvl w:val="0"/>
          <w:numId w:val="2"/>
        </w:numPr>
        <w:spacing w:line="300" w:lineRule="exact"/>
        <w:ind w:left="567" w:hanging="567"/>
        <w:contextualSpacing/>
        <w:jc w:val="both"/>
        <w:rPr>
          <w:sz w:val="20"/>
          <w:szCs w:val="20"/>
        </w:rPr>
      </w:pPr>
      <w:r w:rsidRPr="00101651">
        <w:rPr>
          <w:sz w:val="20"/>
          <w:szCs w:val="20"/>
        </w:rPr>
        <w:t>the risks and rewards of a range of alternative asset allocation strategies</w:t>
      </w:r>
    </w:p>
    <w:p w:rsidR="00A13257" w:rsidRPr="00101651" w:rsidRDefault="00A13257" w:rsidP="00074143">
      <w:pPr>
        <w:pStyle w:val="ListParagraph"/>
        <w:numPr>
          <w:ilvl w:val="0"/>
          <w:numId w:val="2"/>
        </w:numPr>
        <w:spacing w:line="300" w:lineRule="exact"/>
        <w:ind w:left="567" w:hanging="567"/>
        <w:contextualSpacing/>
        <w:jc w:val="both"/>
        <w:rPr>
          <w:sz w:val="20"/>
          <w:szCs w:val="20"/>
        </w:rPr>
      </w:pPr>
      <w:r w:rsidRPr="00101651">
        <w:rPr>
          <w:sz w:val="20"/>
          <w:szCs w:val="20"/>
        </w:rPr>
        <w:t>the suitability of each asset class</w:t>
      </w:r>
    </w:p>
    <w:p w:rsidR="00A13257" w:rsidRPr="00101651" w:rsidRDefault="00A13257" w:rsidP="00074143">
      <w:pPr>
        <w:pStyle w:val="ListParagraph"/>
        <w:numPr>
          <w:ilvl w:val="0"/>
          <w:numId w:val="2"/>
        </w:numPr>
        <w:spacing w:line="300" w:lineRule="exact"/>
        <w:ind w:left="567" w:hanging="567"/>
        <w:contextualSpacing/>
        <w:jc w:val="both"/>
        <w:rPr>
          <w:sz w:val="20"/>
          <w:szCs w:val="20"/>
        </w:rPr>
      </w:pPr>
      <w:r w:rsidRPr="00101651">
        <w:rPr>
          <w:sz w:val="20"/>
          <w:szCs w:val="20"/>
        </w:rPr>
        <w:t>the need for appropriate diversification</w:t>
      </w:r>
    </w:p>
    <w:p w:rsidR="00A13257" w:rsidRPr="00101651" w:rsidRDefault="00A13257" w:rsidP="00074143">
      <w:pPr>
        <w:pStyle w:val="ListParagraph"/>
        <w:numPr>
          <w:ilvl w:val="0"/>
          <w:numId w:val="2"/>
        </w:numPr>
        <w:spacing w:line="300" w:lineRule="exact"/>
        <w:ind w:left="567" w:hanging="567"/>
        <w:contextualSpacing/>
        <w:jc w:val="both"/>
        <w:rPr>
          <w:sz w:val="20"/>
          <w:szCs w:val="20"/>
        </w:rPr>
      </w:pPr>
      <w:r w:rsidRPr="00101651">
        <w:rPr>
          <w:sz w:val="20"/>
          <w:szCs w:val="20"/>
        </w:rPr>
        <w:t xml:space="preserve">the </w:t>
      </w:r>
      <w:r w:rsidR="00074143">
        <w:rPr>
          <w:sz w:val="20"/>
          <w:szCs w:val="20"/>
        </w:rPr>
        <w:t>Scheme</w:t>
      </w:r>
      <w:r w:rsidRPr="00101651">
        <w:rPr>
          <w:sz w:val="20"/>
          <w:szCs w:val="20"/>
        </w:rPr>
        <w:t xml:space="preserve">’s Investment and </w:t>
      </w:r>
      <w:r w:rsidR="0054408F">
        <w:rPr>
          <w:sz w:val="20"/>
          <w:szCs w:val="20"/>
        </w:rPr>
        <w:t>Fund</w:t>
      </w:r>
      <w:r w:rsidRPr="00101651">
        <w:rPr>
          <w:sz w:val="20"/>
          <w:szCs w:val="20"/>
        </w:rPr>
        <w:t>ing Objectives</w:t>
      </w:r>
    </w:p>
    <w:p w:rsidR="00A13257" w:rsidRPr="00101651" w:rsidRDefault="00A13257" w:rsidP="00A13257">
      <w:pPr>
        <w:spacing w:line="300" w:lineRule="exact"/>
        <w:rPr>
          <w:rFonts w:cs="Arial"/>
          <w:sz w:val="20"/>
          <w:szCs w:val="20"/>
        </w:rPr>
      </w:pPr>
    </w:p>
    <w:p w:rsidR="00BF71C4" w:rsidRPr="00101651" w:rsidRDefault="00BF71C4" w:rsidP="00101651">
      <w:pPr>
        <w:spacing w:line="264" w:lineRule="auto"/>
        <w:jc w:val="both"/>
        <w:rPr>
          <w:rFonts w:cs="Arial"/>
          <w:bCs/>
          <w:color w:val="424FB3"/>
          <w:sz w:val="24"/>
        </w:rPr>
      </w:pPr>
      <w:r w:rsidRPr="00101651">
        <w:rPr>
          <w:rFonts w:cs="Arial"/>
          <w:bCs/>
          <w:color w:val="424FB3"/>
          <w:sz w:val="24"/>
        </w:rPr>
        <w:t>The Investment Consultant</w:t>
      </w:r>
    </w:p>
    <w:p w:rsidR="00BF71C4" w:rsidRPr="00101651" w:rsidRDefault="00BF71C4" w:rsidP="000D0853">
      <w:pPr>
        <w:jc w:val="both"/>
        <w:rPr>
          <w:rFonts w:cs="Arial"/>
          <w:sz w:val="20"/>
          <w:szCs w:val="20"/>
        </w:rPr>
      </w:pPr>
    </w:p>
    <w:p w:rsidR="00A13257" w:rsidRPr="00101651" w:rsidRDefault="00A13257" w:rsidP="00A13257">
      <w:pPr>
        <w:spacing w:line="300" w:lineRule="exact"/>
        <w:jc w:val="both"/>
        <w:rPr>
          <w:rFonts w:cs="Arial"/>
          <w:sz w:val="20"/>
          <w:szCs w:val="20"/>
        </w:rPr>
      </w:pPr>
      <w:r w:rsidRPr="00101651">
        <w:rPr>
          <w:rFonts w:cs="Arial"/>
          <w:sz w:val="20"/>
          <w:szCs w:val="20"/>
        </w:rPr>
        <w:t xml:space="preserve">The Investment Consultant advises on an investment strategy appropriate to the investment objectives. This advice is provided after each formal actuarial valuation and on a regular basis between formal valuations.  The Investment Consultant also monitors and reports on the performance of the </w:t>
      </w:r>
      <w:r w:rsidR="000B4EAE">
        <w:rPr>
          <w:rFonts w:cs="Arial"/>
          <w:sz w:val="20"/>
          <w:szCs w:val="20"/>
        </w:rPr>
        <w:t>investment m</w:t>
      </w:r>
      <w:r w:rsidR="005078CD">
        <w:rPr>
          <w:rFonts w:cs="Arial"/>
          <w:sz w:val="20"/>
          <w:szCs w:val="20"/>
        </w:rPr>
        <w:t>anager</w:t>
      </w:r>
      <w:r w:rsidR="000B4EAE">
        <w:rPr>
          <w:rFonts w:cs="Arial"/>
          <w:sz w:val="20"/>
          <w:szCs w:val="20"/>
        </w:rPr>
        <w:t>s</w:t>
      </w:r>
      <w:r w:rsidRPr="00101651">
        <w:rPr>
          <w:rFonts w:cs="Arial"/>
          <w:sz w:val="20"/>
          <w:szCs w:val="20"/>
        </w:rPr>
        <w:t>.</w:t>
      </w:r>
    </w:p>
    <w:p w:rsidR="00A13257" w:rsidRPr="00101651" w:rsidRDefault="00A13257" w:rsidP="000D0853">
      <w:pPr>
        <w:jc w:val="both"/>
        <w:rPr>
          <w:rFonts w:cs="Arial"/>
          <w:sz w:val="20"/>
          <w:szCs w:val="20"/>
        </w:rPr>
      </w:pPr>
    </w:p>
    <w:p w:rsidR="00A13257" w:rsidRPr="00101651" w:rsidRDefault="00A13257" w:rsidP="00A13257">
      <w:pPr>
        <w:spacing w:line="300" w:lineRule="exact"/>
        <w:jc w:val="both"/>
        <w:rPr>
          <w:rFonts w:cs="Arial"/>
          <w:sz w:val="20"/>
          <w:szCs w:val="20"/>
        </w:rPr>
      </w:pPr>
      <w:r w:rsidRPr="00101651">
        <w:rPr>
          <w:rFonts w:cs="Arial"/>
          <w:sz w:val="20"/>
          <w:szCs w:val="20"/>
        </w:rPr>
        <w:t>The Investment Consultant is paid a fee for their advice and their appointment is reviewed f</w:t>
      </w:r>
      <w:r w:rsidR="004344F4" w:rsidRPr="00101651">
        <w:rPr>
          <w:rFonts w:cs="Arial"/>
          <w:sz w:val="20"/>
          <w:szCs w:val="20"/>
        </w:rPr>
        <w:t xml:space="preserve">rom time to time by the </w:t>
      </w:r>
      <w:r w:rsidR="00C0490C" w:rsidRPr="00C0490C">
        <w:rPr>
          <w:rFonts w:cs="Arial"/>
          <w:sz w:val="20"/>
          <w:szCs w:val="20"/>
        </w:rPr>
        <w:t>Trustees</w:t>
      </w:r>
      <w:r w:rsidRPr="00101651">
        <w:rPr>
          <w:rFonts w:cs="Arial"/>
          <w:sz w:val="20"/>
          <w:szCs w:val="20"/>
        </w:rPr>
        <w:t>.</w:t>
      </w:r>
    </w:p>
    <w:p w:rsidR="00A13257" w:rsidRPr="00101651" w:rsidRDefault="00A13257" w:rsidP="000D0853">
      <w:pPr>
        <w:jc w:val="both"/>
        <w:rPr>
          <w:rFonts w:cs="Arial"/>
          <w:sz w:val="20"/>
          <w:szCs w:val="20"/>
        </w:rPr>
      </w:pPr>
    </w:p>
    <w:p w:rsidR="00330A89" w:rsidRPr="00101651" w:rsidRDefault="00330A89" w:rsidP="00330A89">
      <w:pPr>
        <w:spacing w:line="300" w:lineRule="exact"/>
        <w:jc w:val="both"/>
        <w:rPr>
          <w:rFonts w:cs="Arial"/>
          <w:sz w:val="20"/>
          <w:szCs w:val="20"/>
        </w:rPr>
      </w:pPr>
      <w:r>
        <w:rPr>
          <w:rFonts w:cs="Arial"/>
          <w:sz w:val="20"/>
          <w:szCs w:val="20"/>
        </w:rPr>
        <w:t>Broadstone</w:t>
      </w:r>
      <w:r w:rsidRPr="00101651">
        <w:rPr>
          <w:rFonts w:cs="Arial"/>
          <w:sz w:val="20"/>
          <w:szCs w:val="20"/>
        </w:rPr>
        <w:t xml:space="preserve"> </w:t>
      </w:r>
      <w:r>
        <w:rPr>
          <w:rFonts w:cs="Arial"/>
          <w:sz w:val="20"/>
          <w:szCs w:val="20"/>
        </w:rPr>
        <w:t>Corporate Benefits</w:t>
      </w:r>
      <w:r w:rsidRPr="00101651">
        <w:rPr>
          <w:rFonts w:cs="Arial"/>
          <w:sz w:val="20"/>
          <w:szCs w:val="20"/>
        </w:rPr>
        <w:t xml:space="preserve"> Limited has been appointed as Investment Consultant to the Trustees on the basis that the </w:t>
      </w:r>
      <w:r w:rsidRPr="00C0490C">
        <w:rPr>
          <w:rFonts w:cs="Arial"/>
          <w:sz w:val="20"/>
          <w:szCs w:val="20"/>
        </w:rPr>
        <w:t>Trustees</w:t>
      </w:r>
      <w:r w:rsidRPr="00101651">
        <w:rPr>
          <w:rFonts w:cs="Arial"/>
          <w:sz w:val="20"/>
          <w:szCs w:val="20"/>
        </w:rPr>
        <w:t xml:space="preserve"> believe them to be suitably qualified and have the appropriate knowledge and experience of the management of the investments of such </w:t>
      </w:r>
      <w:r w:rsidRPr="00AF4E42">
        <w:rPr>
          <w:rFonts w:cs="Arial"/>
          <w:sz w:val="20"/>
          <w:szCs w:val="20"/>
        </w:rPr>
        <w:t>schemes</w:t>
      </w:r>
      <w:r w:rsidRPr="00101651">
        <w:rPr>
          <w:rFonts w:cs="Arial"/>
          <w:sz w:val="20"/>
          <w:szCs w:val="20"/>
        </w:rPr>
        <w:t>.</w:t>
      </w:r>
    </w:p>
    <w:p w:rsidR="00330A89" w:rsidRDefault="00330A89" w:rsidP="00330A89">
      <w:pPr>
        <w:spacing w:line="264" w:lineRule="auto"/>
        <w:jc w:val="both"/>
        <w:rPr>
          <w:rFonts w:cs="Arial"/>
          <w:sz w:val="20"/>
          <w:szCs w:val="20"/>
        </w:rPr>
      </w:pPr>
    </w:p>
    <w:p w:rsidR="00330A89" w:rsidRDefault="00330A89" w:rsidP="00330A89">
      <w:pPr>
        <w:spacing w:line="264" w:lineRule="auto"/>
        <w:jc w:val="both"/>
        <w:rPr>
          <w:rFonts w:cs="Arial"/>
          <w:bCs/>
          <w:color w:val="424FB3"/>
          <w:sz w:val="24"/>
        </w:rPr>
      </w:pPr>
      <w:r>
        <w:rPr>
          <w:rFonts w:cs="Arial"/>
          <w:sz w:val="20"/>
          <w:szCs w:val="20"/>
        </w:rPr>
        <w:t>Broadstone</w:t>
      </w:r>
      <w:r w:rsidRPr="00101651">
        <w:rPr>
          <w:rFonts w:cs="Arial"/>
          <w:sz w:val="20"/>
          <w:szCs w:val="20"/>
        </w:rPr>
        <w:t xml:space="preserve"> </w:t>
      </w:r>
      <w:r>
        <w:rPr>
          <w:rFonts w:cs="Arial"/>
          <w:sz w:val="20"/>
          <w:szCs w:val="20"/>
        </w:rPr>
        <w:t>Corporate Benefits</w:t>
      </w:r>
      <w:r w:rsidRPr="00101651">
        <w:rPr>
          <w:rFonts w:cs="Arial"/>
          <w:sz w:val="20"/>
          <w:szCs w:val="20"/>
        </w:rPr>
        <w:t xml:space="preserve"> Limited</w:t>
      </w:r>
      <w:r>
        <w:rPr>
          <w:rFonts w:cs="Arial"/>
          <w:sz w:val="20"/>
          <w:szCs w:val="20"/>
        </w:rPr>
        <w:t xml:space="preserve"> are authorised and regulated by the Financial Conduct Authority.</w:t>
      </w:r>
    </w:p>
    <w:p w:rsidR="00974E6D" w:rsidRDefault="00974E6D" w:rsidP="00A3463E">
      <w:pPr>
        <w:spacing w:line="264" w:lineRule="auto"/>
        <w:jc w:val="both"/>
        <w:rPr>
          <w:rFonts w:cs="Arial"/>
          <w:sz w:val="20"/>
          <w:szCs w:val="20"/>
        </w:rPr>
      </w:pPr>
    </w:p>
    <w:p w:rsidR="00D75330" w:rsidRDefault="00D75330" w:rsidP="00A3463E">
      <w:pPr>
        <w:spacing w:line="264" w:lineRule="auto"/>
        <w:jc w:val="both"/>
        <w:rPr>
          <w:rFonts w:cs="Arial"/>
          <w:bCs/>
          <w:color w:val="424FB3"/>
          <w:sz w:val="24"/>
        </w:rPr>
      </w:pPr>
    </w:p>
    <w:p w:rsidR="00974E6D" w:rsidRDefault="00974E6D" w:rsidP="00A3463E">
      <w:pPr>
        <w:spacing w:line="264" w:lineRule="auto"/>
        <w:jc w:val="both"/>
        <w:rPr>
          <w:rFonts w:cs="Arial"/>
          <w:bCs/>
          <w:color w:val="424FB3"/>
          <w:sz w:val="24"/>
        </w:rPr>
      </w:pPr>
    </w:p>
    <w:p w:rsidR="00974E6D" w:rsidRDefault="00974E6D" w:rsidP="00A3463E">
      <w:pPr>
        <w:spacing w:line="264" w:lineRule="auto"/>
        <w:jc w:val="both"/>
        <w:rPr>
          <w:rFonts w:cs="Arial"/>
          <w:bCs/>
          <w:color w:val="424FB3"/>
          <w:sz w:val="24"/>
        </w:rPr>
      </w:pPr>
    </w:p>
    <w:p w:rsidR="00B103B0" w:rsidRDefault="00B103B0" w:rsidP="00A3463E">
      <w:pPr>
        <w:spacing w:line="264" w:lineRule="auto"/>
        <w:jc w:val="both"/>
        <w:rPr>
          <w:rFonts w:cs="Arial"/>
          <w:bCs/>
          <w:color w:val="424FB3"/>
          <w:sz w:val="24"/>
        </w:rPr>
      </w:pPr>
    </w:p>
    <w:p w:rsidR="00974E6D" w:rsidRDefault="00974E6D" w:rsidP="00A3463E">
      <w:pPr>
        <w:spacing w:line="264" w:lineRule="auto"/>
        <w:jc w:val="both"/>
        <w:rPr>
          <w:rFonts w:cs="Arial"/>
          <w:bCs/>
          <w:color w:val="424FB3"/>
          <w:sz w:val="24"/>
        </w:rPr>
      </w:pPr>
    </w:p>
    <w:p w:rsidR="00974E6D" w:rsidRDefault="00974E6D" w:rsidP="00A3463E">
      <w:pPr>
        <w:spacing w:line="264" w:lineRule="auto"/>
        <w:jc w:val="both"/>
        <w:rPr>
          <w:rFonts w:cs="Arial"/>
          <w:bCs/>
          <w:color w:val="424FB3"/>
          <w:sz w:val="24"/>
        </w:rPr>
      </w:pPr>
    </w:p>
    <w:p w:rsidR="00A3463E" w:rsidRPr="00101651" w:rsidRDefault="00A3463E" w:rsidP="00A13257">
      <w:pPr>
        <w:spacing w:line="300" w:lineRule="exact"/>
        <w:jc w:val="both"/>
        <w:rPr>
          <w:rFonts w:cs="Arial"/>
          <w:bCs/>
          <w:color w:val="6A2C91"/>
          <w:sz w:val="24"/>
        </w:rPr>
      </w:pPr>
    </w:p>
    <w:p w:rsidR="00BF71C4" w:rsidRPr="00101651" w:rsidRDefault="00170783" w:rsidP="00101651">
      <w:pPr>
        <w:spacing w:line="264" w:lineRule="auto"/>
        <w:jc w:val="both"/>
        <w:rPr>
          <w:rFonts w:cs="Arial"/>
          <w:bCs/>
          <w:color w:val="424FB3"/>
          <w:sz w:val="24"/>
        </w:rPr>
      </w:pPr>
      <w:r>
        <w:rPr>
          <w:rFonts w:cs="Arial"/>
          <w:bCs/>
          <w:color w:val="424FB3"/>
          <w:sz w:val="24"/>
        </w:rPr>
        <w:t>The Hospice</w:t>
      </w:r>
    </w:p>
    <w:p w:rsidR="00BF71C4" w:rsidRPr="00101651" w:rsidRDefault="00BF71C4" w:rsidP="00A13257">
      <w:pPr>
        <w:spacing w:line="300" w:lineRule="exact"/>
        <w:jc w:val="both"/>
        <w:rPr>
          <w:rFonts w:cs="Arial"/>
          <w:sz w:val="20"/>
          <w:szCs w:val="20"/>
        </w:rPr>
      </w:pPr>
    </w:p>
    <w:p w:rsidR="00A13257" w:rsidRPr="00101651" w:rsidRDefault="004344F4" w:rsidP="00A13257">
      <w:pPr>
        <w:spacing w:line="300" w:lineRule="exact"/>
        <w:jc w:val="both"/>
        <w:rPr>
          <w:rFonts w:cs="Arial"/>
          <w:sz w:val="20"/>
          <w:szCs w:val="20"/>
        </w:rPr>
      </w:pPr>
      <w:r w:rsidRPr="00101651">
        <w:rPr>
          <w:rFonts w:cs="Arial"/>
          <w:sz w:val="20"/>
          <w:szCs w:val="20"/>
        </w:rPr>
        <w:t xml:space="preserve">The </w:t>
      </w:r>
      <w:r w:rsidR="00C0490C" w:rsidRPr="00C0490C">
        <w:rPr>
          <w:rFonts w:cs="Arial"/>
          <w:sz w:val="20"/>
          <w:szCs w:val="20"/>
        </w:rPr>
        <w:t>Trustees</w:t>
      </w:r>
      <w:r w:rsidR="005F1CFC" w:rsidRPr="00101651">
        <w:rPr>
          <w:rFonts w:cs="Arial"/>
          <w:sz w:val="20"/>
          <w:szCs w:val="20"/>
        </w:rPr>
        <w:t xml:space="preserve"> </w:t>
      </w:r>
      <w:r w:rsidR="00170783">
        <w:rPr>
          <w:rFonts w:cs="Arial"/>
          <w:sz w:val="20"/>
          <w:szCs w:val="20"/>
        </w:rPr>
        <w:t>will consult with the Hospice</w:t>
      </w:r>
      <w:r w:rsidR="00A13257" w:rsidRPr="00101651">
        <w:rPr>
          <w:rFonts w:cs="Arial"/>
          <w:sz w:val="20"/>
          <w:szCs w:val="20"/>
        </w:rPr>
        <w:t xml:space="preserve"> as part of the process for deciding on </w:t>
      </w:r>
      <w:r w:rsidRPr="00101651">
        <w:rPr>
          <w:rFonts w:cs="Arial"/>
          <w:sz w:val="20"/>
          <w:szCs w:val="20"/>
        </w:rPr>
        <w:t xml:space="preserve">the </w:t>
      </w:r>
      <w:r w:rsidR="00A13257" w:rsidRPr="00101651">
        <w:rPr>
          <w:rFonts w:cs="Arial"/>
          <w:sz w:val="20"/>
          <w:szCs w:val="20"/>
        </w:rPr>
        <w:t>investment strategy.</w:t>
      </w:r>
    </w:p>
    <w:p w:rsidR="00BF71C4" w:rsidRPr="00101651" w:rsidRDefault="00BF71C4" w:rsidP="00A13257">
      <w:pPr>
        <w:spacing w:line="300" w:lineRule="exact"/>
        <w:jc w:val="both"/>
        <w:rPr>
          <w:rFonts w:cs="Arial"/>
          <w:sz w:val="20"/>
          <w:szCs w:val="20"/>
        </w:rPr>
      </w:pPr>
    </w:p>
    <w:p w:rsidR="00BF71C4" w:rsidRPr="00101651" w:rsidRDefault="00BF71C4" w:rsidP="00101651">
      <w:pPr>
        <w:spacing w:line="264" w:lineRule="auto"/>
        <w:jc w:val="both"/>
        <w:rPr>
          <w:rFonts w:cs="Arial"/>
          <w:bCs/>
          <w:color w:val="424FB3"/>
          <w:sz w:val="24"/>
        </w:rPr>
      </w:pPr>
      <w:r w:rsidRPr="00101651">
        <w:rPr>
          <w:rFonts w:cs="Arial"/>
          <w:bCs/>
          <w:color w:val="424FB3"/>
          <w:sz w:val="24"/>
        </w:rPr>
        <w:t>Delegation</w:t>
      </w:r>
    </w:p>
    <w:p w:rsidR="00BF71C4" w:rsidRPr="00101651" w:rsidRDefault="00BF71C4" w:rsidP="00A13257">
      <w:pPr>
        <w:spacing w:line="300" w:lineRule="exact"/>
        <w:jc w:val="both"/>
        <w:rPr>
          <w:rFonts w:cs="Arial"/>
          <w:sz w:val="20"/>
          <w:szCs w:val="20"/>
        </w:rPr>
      </w:pPr>
    </w:p>
    <w:p w:rsidR="00A13257" w:rsidRPr="00101651" w:rsidRDefault="004344F4" w:rsidP="00A13257">
      <w:pPr>
        <w:spacing w:line="300" w:lineRule="exact"/>
        <w:jc w:val="both"/>
        <w:rPr>
          <w:rFonts w:cs="Arial"/>
          <w:sz w:val="20"/>
          <w:szCs w:val="20"/>
        </w:rPr>
      </w:pPr>
      <w:r w:rsidRPr="00101651">
        <w:rPr>
          <w:rFonts w:cs="Arial"/>
          <w:sz w:val="20"/>
          <w:szCs w:val="20"/>
        </w:rPr>
        <w:t xml:space="preserve">The </w:t>
      </w:r>
      <w:r w:rsidR="00C0490C" w:rsidRPr="00C0490C">
        <w:rPr>
          <w:rFonts w:cs="Arial"/>
          <w:sz w:val="20"/>
          <w:szCs w:val="20"/>
        </w:rPr>
        <w:t>Trustees</w:t>
      </w:r>
      <w:r w:rsidRPr="00101651">
        <w:rPr>
          <w:rFonts w:cs="Arial"/>
          <w:sz w:val="20"/>
          <w:szCs w:val="20"/>
        </w:rPr>
        <w:t xml:space="preserve"> ha</w:t>
      </w:r>
      <w:r w:rsidR="007C0DD8">
        <w:rPr>
          <w:rFonts w:cs="Arial"/>
          <w:sz w:val="20"/>
          <w:szCs w:val="20"/>
        </w:rPr>
        <w:t>ve</w:t>
      </w:r>
      <w:r w:rsidR="00A13257" w:rsidRPr="00101651">
        <w:rPr>
          <w:rFonts w:cs="Arial"/>
          <w:sz w:val="20"/>
          <w:szCs w:val="20"/>
        </w:rPr>
        <w:t xml:space="preserve"> a policy of delegating all day-to-day powers of investment to the </w:t>
      </w:r>
      <w:r w:rsidR="000B4EAE">
        <w:rPr>
          <w:rFonts w:cs="Arial"/>
          <w:sz w:val="20"/>
          <w:szCs w:val="20"/>
        </w:rPr>
        <w:t>investment m</w:t>
      </w:r>
      <w:r w:rsidR="005078CD">
        <w:rPr>
          <w:rFonts w:cs="Arial"/>
          <w:sz w:val="20"/>
          <w:szCs w:val="20"/>
        </w:rPr>
        <w:t>anager</w:t>
      </w:r>
      <w:r w:rsidR="000B4EAE">
        <w:rPr>
          <w:rFonts w:cs="Arial"/>
          <w:sz w:val="20"/>
          <w:szCs w:val="20"/>
        </w:rPr>
        <w:t>s</w:t>
      </w:r>
      <w:r w:rsidR="00A13257" w:rsidRPr="00101651">
        <w:rPr>
          <w:rFonts w:cs="Arial"/>
          <w:sz w:val="20"/>
          <w:szCs w:val="20"/>
        </w:rPr>
        <w:t xml:space="preserve"> who </w:t>
      </w:r>
      <w:r w:rsidR="000B4EAE">
        <w:rPr>
          <w:rFonts w:cs="Arial"/>
          <w:sz w:val="20"/>
          <w:szCs w:val="20"/>
        </w:rPr>
        <w:t>are</w:t>
      </w:r>
      <w:r w:rsidR="00A13257" w:rsidRPr="00101651">
        <w:rPr>
          <w:rFonts w:cs="Arial"/>
          <w:sz w:val="20"/>
          <w:szCs w:val="20"/>
        </w:rPr>
        <w:t xml:space="preserve"> authorised and </w:t>
      </w:r>
      <w:r w:rsidR="000C549F" w:rsidRPr="00101651">
        <w:rPr>
          <w:rFonts w:cs="Arial"/>
          <w:sz w:val="20"/>
          <w:szCs w:val="20"/>
        </w:rPr>
        <w:t>regulated under the Financial Services and Markets Act 2000.</w:t>
      </w:r>
    </w:p>
    <w:p w:rsidR="00A13257" w:rsidRPr="00101651" w:rsidRDefault="00A13257" w:rsidP="00A13257">
      <w:pPr>
        <w:spacing w:line="300" w:lineRule="exact"/>
        <w:jc w:val="both"/>
        <w:rPr>
          <w:rFonts w:cs="Arial"/>
          <w:sz w:val="20"/>
          <w:szCs w:val="20"/>
        </w:rPr>
      </w:pPr>
    </w:p>
    <w:p w:rsidR="00634CB2" w:rsidRPr="00101651" w:rsidRDefault="00634CB2" w:rsidP="00074143">
      <w:pPr>
        <w:numPr>
          <w:ilvl w:val="0"/>
          <w:numId w:val="1"/>
        </w:numPr>
        <w:spacing w:line="300" w:lineRule="exact"/>
        <w:ind w:left="567" w:hanging="567"/>
        <w:rPr>
          <w:rFonts w:cs="Arial"/>
          <w:b/>
          <w:bCs/>
          <w:color w:val="424FB3"/>
          <w:sz w:val="28"/>
          <w:szCs w:val="28"/>
        </w:rPr>
      </w:pPr>
      <w:r w:rsidRPr="00101651">
        <w:rPr>
          <w:rFonts w:cs="Arial"/>
          <w:bCs/>
          <w:color w:val="424FB3"/>
          <w:sz w:val="28"/>
          <w:szCs w:val="28"/>
        </w:rPr>
        <w:t>Investment Objectives</w:t>
      </w:r>
    </w:p>
    <w:p w:rsidR="00634CB2" w:rsidRPr="00010A31" w:rsidRDefault="00634CB2" w:rsidP="00634CB2">
      <w:pPr>
        <w:pStyle w:val="BodyTextIndent"/>
        <w:spacing w:after="0" w:line="300" w:lineRule="exact"/>
        <w:ind w:left="0"/>
        <w:jc w:val="both"/>
        <w:rPr>
          <w:rFonts w:ascii="Gotham Book" w:hAnsi="Gotham Book" w:cs="Arial"/>
          <w:sz w:val="20"/>
        </w:rPr>
      </w:pPr>
    </w:p>
    <w:p w:rsidR="00634CB2" w:rsidRPr="00101651" w:rsidRDefault="006133DE" w:rsidP="00101651">
      <w:pPr>
        <w:spacing w:line="264" w:lineRule="auto"/>
        <w:jc w:val="both"/>
        <w:rPr>
          <w:rFonts w:cs="Arial"/>
          <w:bCs/>
          <w:color w:val="424FB3"/>
          <w:sz w:val="24"/>
        </w:rPr>
      </w:pPr>
      <w:r>
        <w:rPr>
          <w:rFonts w:cs="Arial"/>
          <w:bCs/>
          <w:color w:val="424FB3"/>
          <w:sz w:val="24"/>
        </w:rPr>
        <w:t>Fund</w:t>
      </w:r>
      <w:r w:rsidR="00634CB2" w:rsidRPr="00101651">
        <w:rPr>
          <w:rFonts w:cs="Arial"/>
          <w:bCs/>
          <w:color w:val="424FB3"/>
          <w:sz w:val="24"/>
        </w:rPr>
        <w:t>ing Objective</w:t>
      </w:r>
    </w:p>
    <w:p w:rsidR="00C935E5" w:rsidRPr="00010A31" w:rsidRDefault="00C935E5" w:rsidP="00010A31">
      <w:pPr>
        <w:pStyle w:val="BodyTextIndent"/>
        <w:spacing w:after="0" w:line="300" w:lineRule="exact"/>
        <w:ind w:left="0"/>
        <w:jc w:val="both"/>
        <w:rPr>
          <w:rFonts w:ascii="Gotham Book" w:hAnsi="Gotham Book" w:cs="Arial"/>
          <w:sz w:val="20"/>
        </w:rPr>
      </w:pPr>
    </w:p>
    <w:p w:rsidR="00010A31" w:rsidRPr="00974E6D" w:rsidRDefault="00010A31" w:rsidP="00010A31">
      <w:pPr>
        <w:spacing w:line="300" w:lineRule="exact"/>
        <w:jc w:val="both"/>
        <w:rPr>
          <w:rFonts w:cs="Arial"/>
          <w:sz w:val="20"/>
          <w:szCs w:val="20"/>
        </w:rPr>
      </w:pPr>
      <w:r w:rsidRPr="00974E6D">
        <w:rPr>
          <w:rFonts w:cs="Arial"/>
          <w:sz w:val="20"/>
          <w:szCs w:val="20"/>
        </w:rPr>
        <w:t xml:space="preserve">The primary funding objective of the </w:t>
      </w:r>
      <w:r w:rsidR="00074143">
        <w:rPr>
          <w:rFonts w:cs="Arial"/>
          <w:sz w:val="20"/>
          <w:szCs w:val="20"/>
        </w:rPr>
        <w:t>Scheme</w:t>
      </w:r>
      <w:r w:rsidRPr="00974E6D">
        <w:rPr>
          <w:rFonts w:cs="Arial"/>
          <w:sz w:val="20"/>
          <w:szCs w:val="20"/>
        </w:rPr>
        <w:t xml:space="preserve"> is to ensure, as far as possible, that there are sufficient assets to provide benefits to the </w:t>
      </w:r>
      <w:r w:rsidR="00074143">
        <w:rPr>
          <w:rFonts w:cs="Arial"/>
          <w:sz w:val="20"/>
          <w:szCs w:val="20"/>
        </w:rPr>
        <w:t>Scheme</w:t>
      </w:r>
      <w:r w:rsidRPr="00974E6D">
        <w:rPr>
          <w:rFonts w:cs="Arial"/>
          <w:sz w:val="20"/>
          <w:szCs w:val="20"/>
        </w:rPr>
        <w:t xml:space="preserve"> mem</w:t>
      </w:r>
      <w:r w:rsidR="007D1935">
        <w:rPr>
          <w:rFonts w:cs="Arial"/>
          <w:sz w:val="20"/>
          <w:szCs w:val="20"/>
        </w:rPr>
        <w:t>bers as and when these fall due</w:t>
      </w:r>
      <w:r w:rsidR="00B150FD">
        <w:rPr>
          <w:rFonts w:cs="Arial"/>
          <w:sz w:val="20"/>
          <w:szCs w:val="20"/>
        </w:rPr>
        <w:t>.</w:t>
      </w:r>
    </w:p>
    <w:p w:rsidR="00BF71C4" w:rsidRPr="00010A31" w:rsidRDefault="00BF71C4" w:rsidP="00010A31">
      <w:pPr>
        <w:spacing w:line="300" w:lineRule="exact"/>
        <w:jc w:val="both"/>
        <w:rPr>
          <w:rFonts w:ascii="Gotham Book" w:hAnsi="Gotham Book" w:cs="Arial"/>
          <w:sz w:val="20"/>
          <w:szCs w:val="20"/>
        </w:rPr>
      </w:pPr>
    </w:p>
    <w:p w:rsidR="00BF71C4" w:rsidRPr="00101651" w:rsidRDefault="00BF71C4" w:rsidP="00101651">
      <w:pPr>
        <w:spacing w:line="264" w:lineRule="auto"/>
        <w:jc w:val="both"/>
        <w:rPr>
          <w:rFonts w:cs="Arial"/>
          <w:bCs/>
          <w:color w:val="424FB3"/>
          <w:sz w:val="24"/>
        </w:rPr>
      </w:pPr>
      <w:r w:rsidRPr="00101651">
        <w:rPr>
          <w:rFonts w:cs="Arial"/>
          <w:bCs/>
          <w:color w:val="424FB3"/>
          <w:sz w:val="24"/>
        </w:rPr>
        <w:t>Investment Objective</w:t>
      </w:r>
      <w:r w:rsidR="00454F74" w:rsidRPr="00101651">
        <w:rPr>
          <w:rFonts w:cs="Arial"/>
          <w:bCs/>
          <w:color w:val="424FB3"/>
          <w:sz w:val="24"/>
        </w:rPr>
        <w:t>s</w:t>
      </w:r>
    </w:p>
    <w:p w:rsidR="00BF71C4" w:rsidRPr="00010A31" w:rsidRDefault="00BF71C4" w:rsidP="00010A31">
      <w:pPr>
        <w:spacing w:line="300" w:lineRule="exact"/>
        <w:jc w:val="both"/>
        <w:rPr>
          <w:rFonts w:ascii="Gotham Book" w:hAnsi="Gotham Book" w:cs="Arial"/>
          <w:sz w:val="20"/>
          <w:szCs w:val="20"/>
        </w:rPr>
      </w:pPr>
    </w:p>
    <w:p w:rsidR="00074143" w:rsidRPr="005500E2" w:rsidRDefault="00074143" w:rsidP="00074143">
      <w:pPr>
        <w:pStyle w:val="BodyTexthanging"/>
        <w:spacing w:after="0" w:line="312" w:lineRule="auto"/>
        <w:ind w:left="0" w:firstLine="0"/>
        <w:jc w:val="both"/>
        <w:rPr>
          <w:rFonts w:ascii="Arial" w:hAnsi="Arial" w:cs="Arial"/>
          <w:color w:val="000000"/>
          <w:sz w:val="20"/>
        </w:rPr>
      </w:pPr>
      <w:r w:rsidRPr="005500E2">
        <w:rPr>
          <w:rFonts w:ascii="Arial" w:hAnsi="Arial" w:cs="Arial"/>
          <w:color w:val="000000"/>
          <w:sz w:val="20"/>
        </w:rPr>
        <w:t xml:space="preserve">The Trustees’ objectives for setting the investment strategy of the Scheme have been set broadly with regard to the Scheme’s Statutory </w:t>
      </w:r>
      <w:r w:rsidR="0090511D">
        <w:rPr>
          <w:rFonts w:ascii="Arial" w:hAnsi="Arial" w:cs="Arial"/>
          <w:color w:val="000000"/>
          <w:sz w:val="20"/>
        </w:rPr>
        <w:t>Fund</w:t>
      </w:r>
      <w:r w:rsidRPr="005500E2">
        <w:rPr>
          <w:rFonts w:ascii="Arial" w:hAnsi="Arial" w:cs="Arial"/>
          <w:color w:val="000000"/>
          <w:sz w:val="20"/>
        </w:rPr>
        <w:t xml:space="preserve">ing Objectives as set out in the Statement of </w:t>
      </w:r>
      <w:r w:rsidR="0090511D">
        <w:rPr>
          <w:rFonts w:ascii="Arial" w:hAnsi="Arial" w:cs="Arial"/>
          <w:color w:val="000000"/>
          <w:sz w:val="20"/>
        </w:rPr>
        <w:t>Fund</w:t>
      </w:r>
      <w:r w:rsidRPr="005500E2">
        <w:rPr>
          <w:rFonts w:ascii="Arial" w:hAnsi="Arial" w:cs="Arial"/>
          <w:color w:val="000000"/>
          <w:sz w:val="20"/>
        </w:rPr>
        <w:t>ing Principles.</w:t>
      </w:r>
    </w:p>
    <w:p w:rsidR="00074143" w:rsidRPr="005500E2" w:rsidRDefault="00074143" w:rsidP="00074143">
      <w:pPr>
        <w:pStyle w:val="BodyTexthanging"/>
        <w:spacing w:after="0"/>
        <w:jc w:val="both"/>
        <w:rPr>
          <w:rFonts w:ascii="Arial" w:hAnsi="Arial" w:cs="Arial"/>
          <w:color w:val="000000"/>
          <w:sz w:val="20"/>
        </w:rPr>
      </w:pPr>
      <w:r w:rsidRPr="005500E2">
        <w:rPr>
          <w:rFonts w:ascii="Arial" w:hAnsi="Arial" w:cs="Arial"/>
          <w:color w:val="000000"/>
          <w:sz w:val="20"/>
        </w:rPr>
        <w:t>The Trustees' primary objectives are:</w:t>
      </w:r>
    </w:p>
    <w:p w:rsidR="00074143" w:rsidRPr="005500E2" w:rsidRDefault="00074143" w:rsidP="00074143">
      <w:pPr>
        <w:pStyle w:val="BodyTexthanging"/>
        <w:numPr>
          <w:ilvl w:val="0"/>
          <w:numId w:val="6"/>
        </w:numPr>
        <w:spacing w:after="0" w:line="312" w:lineRule="auto"/>
        <w:jc w:val="both"/>
        <w:rPr>
          <w:rFonts w:ascii="Arial" w:hAnsi="Arial" w:cs="Arial"/>
          <w:color w:val="000000"/>
          <w:sz w:val="20"/>
        </w:rPr>
      </w:pPr>
      <w:r w:rsidRPr="005500E2">
        <w:rPr>
          <w:rFonts w:ascii="Arial" w:hAnsi="Arial" w:cs="Arial"/>
          <w:color w:val="000000"/>
          <w:sz w:val="20"/>
        </w:rPr>
        <w:t xml:space="preserve">“funding objective” – to ensure that the Scheme is fully funded using assumptions that contain an appropriate margin for prudence.  Where an actuarial valuation reveals a deficit, a recovery plan will be put in place which will take into account the financial covenant of the </w:t>
      </w:r>
      <w:r w:rsidR="00267155">
        <w:rPr>
          <w:rFonts w:ascii="Arial" w:hAnsi="Arial" w:cs="Arial"/>
          <w:color w:val="000000"/>
          <w:sz w:val="20"/>
        </w:rPr>
        <w:t>Hospice</w:t>
      </w:r>
      <w:r w:rsidRPr="005500E2">
        <w:rPr>
          <w:rFonts w:ascii="Arial" w:hAnsi="Arial" w:cs="Arial"/>
          <w:color w:val="000000"/>
          <w:sz w:val="20"/>
        </w:rPr>
        <w:t>;</w:t>
      </w:r>
    </w:p>
    <w:p w:rsidR="00074143" w:rsidRPr="005500E2" w:rsidRDefault="00074143" w:rsidP="00074143">
      <w:pPr>
        <w:pStyle w:val="BodyTexthanging"/>
        <w:numPr>
          <w:ilvl w:val="0"/>
          <w:numId w:val="6"/>
        </w:numPr>
        <w:spacing w:after="0" w:line="312" w:lineRule="auto"/>
        <w:jc w:val="both"/>
        <w:rPr>
          <w:rFonts w:ascii="Arial" w:hAnsi="Arial" w:cs="Arial"/>
          <w:color w:val="000000"/>
          <w:sz w:val="20"/>
        </w:rPr>
      </w:pPr>
      <w:r w:rsidRPr="005500E2">
        <w:rPr>
          <w:rFonts w:ascii="Arial" w:hAnsi="Arial" w:cs="Arial"/>
          <w:color w:val="000000"/>
          <w:sz w:val="20"/>
        </w:rPr>
        <w:t>“stability objective” – to monitor the absolute level and stability of contributions required when setting the investment strategy of the Scheme; and</w:t>
      </w:r>
    </w:p>
    <w:p w:rsidR="00074143" w:rsidRPr="005500E2" w:rsidRDefault="00074143" w:rsidP="00074143">
      <w:pPr>
        <w:pStyle w:val="BodyTexthanging"/>
        <w:numPr>
          <w:ilvl w:val="0"/>
          <w:numId w:val="6"/>
        </w:numPr>
        <w:spacing w:line="312" w:lineRule="auto"/>
        <w:jc w:val="both"/>
        <w:rPr>
          <w:rFonts w:ascii="Arial" w:hAnsi="Arial" w:cs="Arial"/>
          <w:color w:val="000000"/>
          <w:sz w:val="20"/>
        </w:rPr>
      </w:pPr>
      <w:r w:rsidRPr="005500E2">
        <w:rPr>
          <w:rFonts w:ascii="Arial" w:hAnsi="Arial" w:cs="Arial"/>
          <w:color w:val="000000"/>
          <w:sz w:val="20"/>
        </w:rPr>
        <w:t xml:space="preserve">“security objective” – to endeavour to improve the funding position of the Scheme and in turn the asset coverage of members’ benefits.  </w:t>
      </w:r>
    </w:p>
    <w:p w:rsidR="00074143" w:rsidRPr="005500E2" w:rsidRDefault="00074143" w:rsidP="00074143">
      <w:pPr>
        <w:pStyle w:val="MainText"/>
        <w:jc w:val="both"/>
        <w:rPr>
          <w:rFonts w:ascii="Arial" w:hAnsi="Arial" w:cs="Arial"/>
          <w:sz w:val="20"/>
        </w:rPr>
      </w:pPr>
      <w:r w:rsidRPr="005500E2">
        <w:rPr>
          <w:rFonts w:ascii="Arial" w:hAnsi="Arial" w:cs="Arial"/>
          <w:sz w:val="20"/>
        </w:rPr>
        <w:t xml:space="preserve">The Trustees appreciate that these objectives are not necessarily mutually exclusive.  </w:t>
      </w:r>
    </w:p>
    <w:p w:rsidR="00074143" w:rsidRPr="005500E2" w:rsidRDefault="00074143" w:rsidP="00074143">
      <w:pPr>
        <w:pStyle w:val="MainText"/>
        <w:jc w:val="both"/>
        <w:rPr>
          <w:rFonts w:ascii="Arial" w:hAnsi="Arial" w:cs="Arial"/>
          <w:sz w:val="20"/>
        </w:rPr>
      </w:pPr>
      <w:r w:rsidRPr="005500E2">
        <w:rPr>
          <w:rFonts w:ascii="Arial" w:hAnsi="Arial" w:cs="Arial"/>
          <w:sz w:val="20"/>
        </w:rPr>
        <w:t>The Trustees also recognise that it is currently necessary to accept some risk in the investment strategy to achieve the long-term funding objective.</w:t>
      </w:r>
    </w:p>
    <w:p w:rsidR="00074143" w:rsidRPr="00074143" w:rsidRDefault="00074143" w:rsidP="00074143">
      <w:pPr>
        <w:spacing w:after="240"/>
        <w:jc w:val="both"/>
        <w:rPr>
          <w:rFonts w:cs="Arial"/>
          <w:sz w:val="20"/>
          <w:szCs w:val="20"/>
        </w:rPr>
      </w:pPr>
      <w:r w:rsidRPr="00074143">
        <w:rPr>
          <w:rFonts w:cs="Arial"/>
          <w:sz w:val="20"/>
          <w:szCs w:val="20"/>
        </w:rPr>
        <w:t xml:space="preserve">The Trustees’ policy in relation to Regulation 4(4) (appropriateness in relation to Technical Provisions) and Regulation 4(7) (Diversification) of the 2005 Investment Regulations is covered below. </w:t>
      </w:r>
    </w:p>
    <w:p w:rsidR="00010A31" w:rsidRPr="00101651" w:rsidRDefault="00010A31" w:rsidP="00101651">
      <w:pPr>
        <w:spacing w:line="264" w:lineRule="auto"/>
        <w:jc w:val="both"/>
        <w:rPr>
          <w:rFonts w:cs="Arial"/>
          <w:bCs/>
          <w:color w:val="424FB3"/>
          <w:sz w:val="24"/>
        </w:rPr>
      </w:pPr>
      <w:r w:rsidRPr="00101651">
        <w:rPr>
          <w:rFonts w:cs="Arial"/>
          <w:bCs/>
          <w:color w:val="424FB3"/>
          <w:sz w:val="24"/>
        </w:rPr>
        <w:t>Performance Objective</w:t>
      </w:r>
    </w:p>
    <w:p w:rsidR="00010A31" w:rsidRPr="00010A31" w:rsidRDefault="00010A31" w:rsidP="00010A31">
      <w:pPr>
        <w:spacing w:line="300" w:lineRule="exact"/>
        <w:rPr>
          <w:rFonts w:ascii="Gotham Book" w:hAnsi="Gotham Book" w:cs="Calibri"/>
          <w:sz w:val="20"/>
          <w:szCs w:val="20"/>
        </w:rPr>
      </w:pPr>
    </w:p>
    <w:p w:rsidR="00010A31" w:rsidRDefault="00010A31" w:rsidP="00010A31">
      <w:pPr>
        <w:spacing w:line="300" w:lineRule="exact"/>
        <w:jc w:val="both"/>
        <w:rPr>
          <w:rFonts w:cs="Arial"/>
          <w:sz w:val="20"/>
          <w:szCs w:val="20"/>
        </w:rPr>
      </w:pPr>
      <w:r w:rsidRPr="00101651">
        <w:rPr>
          <w:rFonts w:cs="Arial"/>
          <w:sz w:val="20"/>
          <w:szCs w:val="20"/>
        </w:rPr>
        <w:t xml:space="preserve">The </w:t>
      </w:r>
      <w:r w:rsidR="000B4EAE">
        <w:rPr>
          <w:rFonts w:cs="Arial"/>
          <w:sz w:val="20"/>
          <w:szCs w:val="20"/>
        </w:rPr>
        <w:t>i</w:t>
      </w:r>
      <w:r w:rsidR="005078CD">
        <w:rPr>
          <w:rFonts w:cs="Arial"/>
          <w:sz w:val="20"/>
          <w:szCs w:val="20"/>
        </w:rPr>
        <w:t xml:space="preserve">nvestment </w:t>
      </w:r>
      <w:r w:rsidR="000B4EAE">
        <w:rPr>
          <w:rFonts w:cs="Arial"/>
          <w:sz w:val="20"/>
          <w:szCs w:val="20"/>
        </w:rPr>
        <w:t>m</w:t>
      </w:r>
      <w:r w:rsidR="005078CD">
        <w:rPr>
          <w:rFonts w:cs="Arial"/>
          <w:sz w:val="20"/>
          <w:szCs w:val="20"/>
        </w:rPr>
        <w:t>anager</w:t>
      </w:r>
      <w:r w:rsidR="000B4EAE">
        <w:rPr>
          <w:rFonts w:cs="Arial"/>
          <w:sz w:val="20"/>
          <w:szCs w:val="20"/>
        </w:rPr>
        <w:t>s</w:t>
      </w:r>
      <w:r w:rsidRPr="00101651">
        <w:rPr>
          <w:rFonts w:cs="Arial"/>
          <w:sz w:val="20"/>
          <w:szCs w:val="20"/>
        </w:rPr>
        <w:t xml:space="preserve"> </w:t>
      </w:r>
      <w:r w:rsidR="000B4EAE">
        <w:rPr>
          <w:rFonts w:cs="Arial"/>
          <w:sz w:val="20"/>
          <w:szCs w:val="20"/>
        </w:rPr>
        <w:t>have</w:t>
      </w:r>
      <w:r w:rsidRPr="00101651">
        <w:rPr>
          <w:rFonts w:cs="Arial"/>
          <w:sz w:val="20"/>
          <w:szCs w:val="20"/>
        </w:rPr>
        <w:t xml:space="preserve"> been set Performance Objectives to achieve returns in line with, or in excess of, a benchmark.</w:t>
      </w:r>
    </w:p>
    <w:p w:rsidR="00267155" w:rsidRDefault="00267155" w:rsidP="00010A31">
      <w:pPr>
        <w:spacing w:line="300" w:lineRule="exact"/>
        <w:jc w:val="both"/>
        <w:rPr>
          <w:rFonts w:cs="Arial"/>
          <w:sz w:val="20"/>
          <w:szCs w:val="20"/>
        </w:rPr>
      </w:pPr>
    </w:p>
    <w:p w:rsidR="00267155" w:rsidRPr="00101651" w:rsidRDefault="00267155" w:rsidP="00010A31">
      <w:pPr>
        <w:spacing w:line="300" w:lineRule="exact"/>
        <w:jc w:val="both"/>
        <w:rPr>
          <w:rFonts w:cs="Arial"/>
          <w:sz w:val="20"/>
          <w:szCs w:val="20"/>
        </w:rPr>
      </w:pPr>
    </w:p>
    <w:p w:rsidR="00010A31" w:rsidRDefault="00010A31" w:rsidP="00010A31">
      <w:pPr>
        <w:spacing w:line="300" w:lineRule="exact"/>
        <w:jc w:val="both"/>
        <w:rPr>
          <w:rFonts w:ascii="Gotham Medium" w:hAnsi="Gotham Medium" w:cs="Arial"/>
          <w:bCs/>
          <w:color w:val="6A2C91"/>
          <w:sz w:val="28"/>
          <w:szCs w:val="28"/>
        </w:rPr>
      </w:pPr>
    </w:p>
    <w:p w:rsidR="00074143" w:rsidRDefault="00074143" w:rsidP="00010A31">
      <w:pPr>
        <w:spacing w:line="300" w:lineRule="exact"/>
        <w:jc w:val="both"/>
        <w:rPr>
          <w:rFonts w:ascii="Gotham Medium" w:hAnsi="Gotham Medium" w:cs="Arial"/>
          <w:bCs/>
          <w:color w:val="6A2C91"/>
          <w:sz w:val="28"/>
          <w:szCs w:val="28"/>
        </w:rPr>
      </w:pPr>
    </w:p>
    <w:p w:rsidR="00D75330" w:rsidRDefault="00D75330" w:rsidP="00010A31">
      <w:pPr>
        <w:spacing w:line="300" w:lineRule="exact"/>
        <w:jc w:val="both"/>
        <w:rPr>
          <w:rFonts w:ascii="Gotham Medium" w:hAnsi="Gotham Medium" w:cs="Arial"/>
          <w:bCs/>
          <w:color w:val="6A2C91"/>
          <w:sz w:val="28"/>
          <w:szCs w:val="28"/>
        </w:rPr>
      </w:pPr>
    </w:p>
    <w:p w:rsidR="00641ADA" w:rsidRDefault="00641ADA" w:rsidP="00010A31">
      <w:pPr>
        <w:spacing w:line="300" w:lineRule="exact"/>
        <w:jc w:val="both"/>
        <w:rPr>
          <w:rFonts w:ascii="Gotham Medium" w:hAnsi="Gotham Medium" w:cs="Arial"/>
          <w:bCs/>
          <w:color w:val="6A2C91"/>
          <w:sz w:val="28"/>
          <w:szCs w:val="28"/>
        </w:rPr>
      </w:pPr>
    </w:p>
    <w:p w:rsidR="00641ADA" w:rsidRDefault="00641ADA" w:rsidP="00010A31">
      <w:pPr>
        <w:spacing w:line="300" w:lineRule="exact"/>
        <w:jc w:val="both"/>
        <w:rPr>
          <w:rFonts w:ascii="Gotham Medium" w:hAnsi="Gotham Medium" w:cs="Arial"/>
          <w:bCs/>
          <w:color w:val="6A2C91"/>
          <w:sz w:val="28"/>
          <w:szCs w:val="28"/>
        </w:rPr>
      </w:pPr>
    </w:p>
    <w:p w:rsidR="00641ADA" w:rsidRDefault="00641ADA" w:rsidP="00010A31">
      <w:pPr>
        <w:spacing w:line="300" w:lineRule="exact"/>
        <w:jc w:val="both"/>
        <w:rPr>
          <w:rFonts w:ascii="Gotham Medium" w:hAnsi="Gotham Medium" w:cs="Arial"/>
          <w:bCs/>
          <w:color w:val="6A2C91"/>
          <w:sz w:val="28"/>
          <w:szCs w:val="28"/>
        </w:rPr>
      </w:pPr>
    </w:p>
    <w:p w:rsidR="00634CB2" w:rsidRPr="00101651" w:rsidRDefault="00634CB2" w:rsidP="00074143">
      <w:pPr>
        <w:numPr>
          <w:ilvl w:val="0"/>
          <w:numId w:val="1"/>
        </w:numPr>
        <w:spacing w:line="300" w:lineRule="exact"/>
        <w:ind w:left="567" w:hanging="567"/>
        <w:rPr>
          <w:rFonts w:cs="Arial"/>
          <w:bCs/>
          <w:color w:val="424FB3"/>
          <w:sz w:val="28"/>
          <w:szCs w:val="28"/>
        </w:rPr>
      </w:pPr>
      <w:r w:rsidRPr="00101651">
        <w:rPr>
          <w:rFonts w:cs="Arial"/>
          <w:bCs/>
          <w:color w:val="424FB3"/>
          <w:sz w:val="28"/>
          <w:szCs w:val="28"/>
        </w:rPr>
        <w:t>Investment Strategy</w:t>
      </w:r>
    </w:p>
    <w:p w:rsidR="00BF71C4" w:rsidRPr="00010A31" w:rsidRDefault="00BF71C4" w:rsidP="00010A31">
      <w:pPr>
        <w:pStyle w:val="BodyTextIndent"/>
        <w:spacing w:after="0" w:line="300" w:lineRule="exact"/>
        <w:ind w:left="0"/>
        <w:jc w:val="both"/>
        <w:rPr>
          <w:rFonts w:ascii="Gotham Book" w:hAnsi="Gotham Book" w:cs="Arial"/>
          <w:sz w:val="20"/>
        </w:rPr>
      </w:pPr>
    </w:p>
    <w:p w:rsidR="00101651" w:rsidRDefault="00641ADA" w:rsidP="00210E9C">
      <w:pPr>
        <w:spacing w:line="300" w:lineRule="exact"/>
        <w:jc w:val="both"/>
        <w:rPr>
          <w:rFonts w:cs="Arial"/>
          <w:sz w:val="20"/>
          <w:szCs w:val="20"/>
        </w:rPr>
      </w:pPr>
      <w:r>
        <w:rPr>
          <w:sz w:val="20"/>
          <w:szCs w:val="20"/>
        </w:rPr>
        <w:t>Given the investment objectives the Trustees have implemented the investment strategic asset allocation in the table below. The Trustees believe that the investment risk arising from the investment strategy is consistent with the overall level of risk being targeted.</w:t>
      </w:r>
    </w:p>
    <w:p w:rsidR="00B103B0" w:rsidRPr="005B618A" w:rsidRDefault="00B103B0" w:rsidP="00210E9C">
      <w:pPr>
        <w:spacing w:line="300" w:lineRule="exact"/>
        <w:jc w:val="both"/>
        <w:rPr>
          <w:rFonts w:ascii="Gotham Book" w:hAnsi="Gotham Book" w:cs="Calibri"/>
          <w:sz w:val="20"/>
          <w:szCs w:val="20"/>
        </w:rPr>
      </w:pPr>
    </w:p>
    <w:tbl>
      <w:tblPr>
        <w:tblStyle w:val="ListTable3-Accent5"/>
        <w:tblW w:w="8700" w:type="dxa"/>
        <w:tblLook w:val="04A0" w:firstRow="1" w:lastRow="0" w:firstColumn="1" w:lastColumn="0" w:noHBand="0" w:noVBand="1"/>
      </w:tblPr>
      <w:tblGrid>
        <w:gridCol w:w="4185"/>
        <w:gridCol w:w="4515"/>
      </w:tblGrid>
      <w:tr w:rsidR="00245729" w:rsidRPr="00FE2136" w:rsidTr="00EC0A7C">
        <w:trPr>
          <w:cnfStyle w:val="100000000000" w:firstRow="1" w:lastRow="0" w:firstColumn="0" w:lastColumn="0" w:oddVBand="0" w:evenVBand="0" w:oddHBand="0" w:evenHBand="0" w:firstRowFirstColumn="0" w:firstRowLastColumn="0" w:lastRowFirstColumn="0" w:lastRowLastColumn="0"/>
          <w:trHeight w:val="406"/>
        </w:trPr>
        <w:tc>
          <w:tcPr>
            <w:cnfStyle w:val="001000000100" w:firstRow="0" w:lastRow="0" w:firstColumn="1" w:lastColumn="0" w:oddVBand="0" w:evenVBand="0" w:oddHBand="0" w:evenHBand="0" w:firstRowFirstColumn="1" w:firstRowLastColumn="0" w:lastRowFirstColumn="0" w:lastRowLastColumn="0"/>
            <w:tcW w:w="4185" w:type="dxa"/>
          </w:tcPr>
          <w:p w:rsidR="00245729" w:rsidRPr="00EC0A7C" w:rsidRDefault="00245729" w:rsidP="00825174">
            <w:pPr>
              <w:spacing w:before="60" w:after="60" w:line="300" w:lineRule="exact"/>
              <w:rPr>
                <w:rFonts w:cs="Arial"/>
                <w:sz w:val="20"/>
                <w:szCs w:val="20"/>
              </w:rPr>
            </w:pPr>
            <w:r w:rsidRPr="00EC0A7C">
              <w:rPr>
                <w:rFonts w:cs="Arial"/>
                <w:sz w:val="20"/>
                <w:szCs w:val="20"/>
              </w:rPr>
              <w:t>Asset Class</w:t>
            </w:r>
          </w:p>
        </w:tc>
        <w:tc>
          <w:tcPr>
            <w:tcW w:w="4515" w:type="dxa"/>
          </w:tcPr>
          <w:p w:rsidR="00245729" w:rsidRPr="00EC0A7C" w:rsidRDefault="00244AF6" w:rsidP="00EC0A7C">
            <w:pPr>
              <w:spacing w:before="60" w:after="60" w:line="300" w:lineRule="exact"/>
              <w:cnfStyle w:val="100000000000" w:firstRow="1" w:lastRow="0" w:firstColumn="0" w:lastColumn="0" w:oddVBand="0" w:evenVBand="0" w:oddHBand="0" w:evenHBand="0" w:firstRowFirstColumn="0" w:firstRowLastColumn="0" w:lastRowFirstColumn="0" w:lastRowLastColumn="0"/>
              <w:rPr>
                <w:rFonts w:cs="Arial"/>
                <w:sz w:val="20"/>
                <w:szCs w:val="20"/>
              </w:rPr>
            </w:pPr>
            <w:r w:rsidRPr="00EC0A7C">
              <w:rPr>
                <w:rFonts w:cs="Arial"/>
                <w:sz w:val="20"/>
                <w:szCs w:val="20"/>
              </w:rPr>
              <w:t>Benchmark Weighting</w:t>
            </w:r>
          </w:p>
        </w:tc>
      </w:tr>
      <w:tr w:rsidR="00245729" w:rsidRPr="00FE2136" w:rsidTr="00EC0A7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85" w:type="dxa"/>
          </w:tcPr>
          <w:p w:rsidR="00245729" w:rsidRPr="00DE2C8E" w:rsidRDefault="00EC0A7C" w:rsidP="00903F57">
            <w:pPr>
              <w:spacing w:before="60" w:after="60" w:line="300" w:lineRule="exact"/>
              <w:rPr>
                <w:rFonts w:cs="Arial"/>
                <w:b w:val="0"/>
                <w:sz w:val="20"/>
                <w:szCs w:val="20"/>
              </w:rPr>
            </w:pPr>
            <w:r w:rsidRPr="00DE2C8E">
              <w:rPr>
                <w:rFonts w:cs="Arial"/>
                <w:b w:val="0"/>
                <w:sz w:val="20"/>
                <w:szCs w:val="20"/>
              </w:rPr>
              <w:t>Equit</w:t>
            </w:r>
            <w:r w:rsidR="009D2695" w:rsidRPr="00DE2C8E">
              <w:rPr>
                <w:rFonts w:cs="Arial"/>
                <w:b w:val="0"/>
                <w:sz w:val="20"/>
                <w:szCs w:val="20"/>
              </w:rPr>
              <w:t>ies</w:t>
            </w:r>
          </w:p>
        </w:tc>
        <w:tc>
          <w:tcPr>
            <w:tcW w:w="4515" w:type="dxa"/>
          </w:tcPr>
          <w:p w:rsidR="00245729" w:rsidRPr="00DE2C8E" w:rsidRDefault="00EC0A7C" w:rsidP="00EC0A7C">
            <w:pPr>
              <w:spacing w:before="60" w:after="60" w:line="300" w:lineRule="exact"/>
              <w:ind w:right="-137"/>
              <w:cnfStyle w:val="000000100000" w:firstRow="0" w:lastRow="0" w:firstColumn="0" w:lastColumn="0" w:oddVBand="0" w:evenVBand="0" w:oddHBand="1" w:evenHBand="0" w:firstRowFirstColumn="0" w:firstRowLastColumn="0" w:lastRowFirstColumn="0" w:lastRowLastColumn="0"/>
              <w:rPr>
                <w:rFonts w:cs="Arial"/>
                <w:sz w:val="20"/>
                <w:szCs w:val="20"/>
              </w:rPr>
            </w:pPr>
            <w:r w:rsidRPr="00DE2C8E">
              <w:rPr>
                <w:rFonts w:cs="Arial"/>
                <w:sz w:val="20"/>
                <w:szCs w:val="20"/>
              </w:rPr>
              <w:t>6</w:t>
            </w:r>
            <w:r w:rsidR="00245729" w:rsidRPr="00DE2C8E">
              <w:rPr>
                <w:rFonts w:cs="Arial"/>
                <w:sz w:val="20"/>
                <w:szCs w:val="20"/>
              </w:rPr>
              <w:t>0%</w:t>
            </w:r>
          </w:p>
        </w:tc>
      </w:tr>
      <w:tr w:rsidR="00EC0A7C" w:rsidRPr="00FE2136" w:rsidTr="00EC0A7C">
        <w:trPr>
          <w:trHeight w:val="417"/>
        </w:trPr>
        <w:tc>
          <w:tcPr>
            <w:cnfStyle w:val="001000000000" w:firstRow="0" w:lastRow="0" w:firstColumn="1" w:lastColumn="0" w:oddVBand="0" w:evenVBand="0" w:oddHBand="0" w:evenHBand="0" w:firstRowFirstColumn="0" w:firstRowLastColumn="0" w:lastRowFirstColumn="0" w:lastRowLastColumn="0"/>
            <w:tcW w:w="4185" w:type="dxa"/>
          </w:tcPr>
          <w:p w:rsidR="00EC0A7C" w:rsidRPr="00DE2C8E" w:rsidRDefault="009D2695" w:rsidP="00903F57">
            <w:pPr>
              <w:spacing w:before="60" w:after="60" w:line="300" w:lineRule="exact"/>
              <w:rPr>
                <w:rFonts w:cs="Arial"/>
                <w:b w:val="0"/>
                <w:sz w:val="20"/>
                <w:szCs w:val="20"/>
              </w:rPr>
            </w:pPr>
            <w:r w:rsidRPr="00DE2C8E">
              <w:rPr>
                <w:rFonts w:cs="Arial"/>
                <w:b w:val="0"/>
                <w:sz w:val="20"/>
                <w:szCs w:val="20"/>
              </w:rPr>
              <w:t>Bonds</w:t>
            </w:r>
          </w:p>
        </w:tc>
        <w:tc>
          <w:tcPr>
            <w:tcW w:w="4515" w:type="dxa"/>
          </w:tcPr>
          <w:p w:rsidR="00EC0A7C" w:rsidRPr="00DE2C8E" w:rsidRDefault="009D2695" w:rsidP="00EC0A7C">
            <w:pPr>
              <w:spacing w:before="60" w:after="60" w:line="300" w:lineRule="exact"/>
              <w:ind w:right="-137"/>
              <w:cnfStyle w:val="000000000000" w:firstRow="0" w:lastRow="0" w:firstColumn="0" w:lastColumn="0" w:oddVBand="0" w:evenVBand="0" w:oddHBand="0" w:evenHBand="0" w:firstRowFirstColumn="0" w:firstRowLastColumn="0" w:lastRowFirstColumn="0" w:lastRowLastColumn="0"/>
              <w:rPr>
                <w:rFonts w:cs="Arial"/>
                <w:sz w:val="20"/>
                <w:szCs w:val="20"/>
              </w:rPr>
            </w:pPr>
            <w:r w:rsidRPr="00DE2C8E">
              <w:rPr>
                <w:rFonts w:cs="Arial"/>
                <w:sz w:val="20"/>
                <w:szCs w:val="20"/>
              </w:rPr>
              <w:t>2</w:t>
            </w:r>
            <w:r w:rsidR="00EC0A7C" w:rsidRPr="00DE2C8E">
              <w:rPr>
                <w:rFonts w:cs="Arial"/>
                <w:sz w:val="20"/>
                <w:szCs w:val="20"/>
              </w:rPr>
              <w:t>0%</w:t>
            </w:r>
          </w:p>
        </w:tc>
      </w:tr>
      <w:tr w:rsidR="00EC0A7C" w:rsidRPr="00FE2136" w:rsidTr="00EC0A7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85" w:type="dxa"/>
          </w:tcPr>
          <w:p w:rsidR="00EC0A7C" w:rsidRPr="00DE2C8E" w:rsidRDefault="009D2695" w:rsidP="00903F57">
            <w:pPr>
              <w:spacing w:before="60" w:after="60" w:line="300" w:lineRule="exact"/>
              <w:rPr>
                <w:rFonts w:cs="Arial"/>
                <w:b w:val="0"/>
                <w:sz w:val="20"/>
                <w:szCs w:val="20"/>
              </w:rPr>
            </w:pPr>
            <w:r w:rsidRPr="00DE2C8E">
              <w:rPr>
                <w:rFonts w:cs="Arial"/>
                <w:b w:val="0"/>
                <w:sz w:val="20"/>
                <w:szCs w:val="20"/>
              </w:rPr>
              <w:t xml:space="preserve">Alternatives </w:t>
            </w:r>
          </w:p>
        </w:tc>
        <w:tc>
          <w:tcPr>
            <w:tcW w:w="4515" w:type="dxa"/>
          </w:tcPr>
          <w:p w:rsidR="00EC0A7C" w:rsidRPr="00DE2C8E" w:rsidRDefault="00EC0A7C" w:rsidP="009D2695">
            <w:pPr>
              <w:spacing w:before="60" w:after="60" w:line="300" w:lineRule="exact"/>
              <w:ind w:right="-137"/>
              <w:cnfStyle w:val="000000100000" w:firstRow="0" w:lastRow="0" w:firstColumn="0" w:lastColumn="0" w:oddVBand="0" w:evenVBand="0" w:oddHBand="1" w:evenHBand="0" w:firstRowFirstColumn="0" w:firstRowLastColumn="0" w:lastRowFirstColumn="0" w:lastRowLastColumn="0"/>
              <w:rPr>
                <w:rFonts w:cs="Arial"/>
                <w:sz w:val="20"/>
                <w:szCs w:val="20"/>
              </w:rPr>
            </w:pPr>
            <w:r w:rsidRPr="00DE2C8E">
              <w:rPr>
                <w:rFonts w:cs="Arial"/>
                <w:sz w:val="20"/>
                <w:szCs w:val="20"/>
              </w:rPr>
              <w:t>1</w:t>
            </w:r>
            <w:r w:rsidR="009D2695" w:rsidRPr="00DE2C8E">
              <w:rPr>
                <w:rFonts w:cs="Arial"/>
                <w:sz w:val="20"/>
                <w:szCs w:val="20"/>
              </w:rPr>
              <w:t>5</w:t>
            </w:r>
            <w:r w:rsidRPr="00DE2C8E">
              <w:rPr>
                <w:rFonts w:cs="Arial"/>
                <w:sz w:val="20"/>
                <w:szCs w:val="20"/>
              </w:rPr>
              <w:t>%</w:t>
            </w:r>
          </w:p>
        </w:tc>
      </w:tr>
      <w:tr w:rsidR="00EC0A7C" w:rsidRPr="00FE2136" w:rsidTr="00EC0A7C">
        <w:trPr>
          <w:trHeight w:val="417"/>
        </w:trPr>
        <w:tc>
          <w:tcPr>
            <w:cnfStyle w:val="001000000000" w:firstRow="0" w:lastRow="0" w:firstColumn="1" w:lastColumn="0" w:oddVBand="0" w:evenVBand="0" w:oddHBand="0" w:evenHBand="0" w:firstRowFirstColumn="0" w:firstRowLastColumn="0" w:lastRowFirstColumn="0" w:lastRowLastColumn="0"/>
            <w:tcW w:w="4185" w:type="dxa"/>
          </w:tcPr>
          <w:p w:rsidR="00EC0A7C" w:rsidRPr="00DE2C8E" w:rsidRDefault="009D2695" w:rsidP="009D2695">
            <w:pPr>
              <w:spacing w:before="60" w:after="60" w:line="300" w:lineRule="exact"/>
              <w:rPr>
                <w:rFonts w:cs="Arial"/>
                <w:b w:val="0"/>
                <w:sz w:val="20"/>
                <w:szCs w:val="20"/>
              </w:rPr>
            </w:pPr>
            <w:r w:rsidRPr="00DE2C8E">
              <w:rPr>
                <w:rFonts w:cs="Arial"/>
                <w:b w:val="0"/>
                <w:sz w:val="20"/>
                <w:szCs w:val="20"/>
              </w:rPr>
              <w:t>Cash</w:t>
            </w:r>
          </w:p>
        </w:tc>
        <w:tc>
          <w:tcPr>
            <w:tcW w:w="4515" w:type="dxa"/>
          </w:tcPr>
          <w:p w:rsidR="00EC0A7C" w:rsidRPr="00DE2C8E" w:rsidRDefault="009D2695" w:rsidP="00EC0A7C">
            <w:pPr>
              <w:spacing w:before="60" w:after="60" w:line="300" w:lineRule="exact"/>
              <w:ind w:right="-137"/>
              <w:cnfStyle w:val="000000000000" w:firstRow="0" w:lastRow="0" w:firstColumn="0" w:lastColumn="0" w:oddVBand="0" w:evenVBand="0" w:oddHBand="0" w:evenHBand="0" w:firstRowFirstColumn="0" w:firstRowLastColumn="0" w:lastRowFirstColumn="0" w:lastRowLastColumn="0"/>
              <w:rPr>
                <w:rFonts w:cs="Arial"/>
                <w:sz w:val="20"/>
                <w:szCs w:val="20"/>
              </w:rPr>
            </w:pPr>
            <w:r w:rsidRPr="00DE2C8E">
              <w:rPr>
                <w:rFonts w:cs="Arial"/>
                <w:sz w:val="20"/>
                <w:szCs w:val="20"/>
              </w:rPr>
              <w:t>5</w:t>
            </w:r>
            <w:r w:rsidR="00EC0A7C" w:rsidRPr="00DE2C8E">
              <w:rPr>
                <w:rFonts w:cs="Arial"/>
                <w:sz w:val="20"/>
                <w:szCs w:val="20"/>
              </w:rPr>
              <w:t>%</w:t>
            </w:r>
          </w:p>
        </w:tc>
      </w:tr>
      <w:tr w:rsidR="00245729" w:rsidRPr="00FE2136" w:rsidTr="00EC0A7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185" w:type="dxa"/>
          </w:tcPr>
          <w:p w:rsidR="00245729" w:rsidRPr="00A933AD" w:rsidRDefault="00245729" w:rsidP="00B20326">
            <w:pPr>
              <w:spacing w:before="60" w:after="60" w:line="300" w:lineRule="exact"/>
              <w:rPr>
                <w:rFonts w:cs="Arial"/>
                <w:b w:val="0"/>
                <w:sz w:val="20"/>
                <w:szCs w:val="20"/>
              </w:rPr>
            </w:pPr>
            <w:r w:rsidRPr="00A933AD">
              <w:rPr>
                <w:rFonts w:cs="Arial"/>
                <w:sz w:val="20"/>
                <w:szCs w:val="20"/>
              </w:rPr>
              <w:t>Total</w:t>
            </w:r>
          </w:p>
        </w:tc>
        <w:tc>
          <w:tcPr>
            <w:tcW w:w="4515" w:type="dxa"/>
          </w:tcPr>
          <w:p w:rsidR="00245729" w:rsidRPr="00A933AD" w:rsidRDefault="00245729" w:rsidP="00EC0A7C">
            <w:pPr>
              <w:spacing w:before="60" w:after="60" w:line="300" w:lineRule="exact"/>
              <w:ind w:right="-137"/>
              <w:cnfStyle w:val="000000100000" w:firstRow="0" w:lastRow="0" w:firstColumn="0" w:lastColumn="0" w:oddVBand="0" w:evenVBand="0" w:oddHBand="1" w:evenHBand="0" w:firstRowFirstColumn="0" w:firstRowLastColumn="0" w:lastRowFirstColumn="0" w:lastRowLastColumn="0"/>
              <w:rPr>
                <w:rFonts w:cs="Arial"/>
                <w:b/>
                <w:sz w:val="20"/>
                <w:szCs w:val="20"/>
              </w:rPr>
            </w:pPr>
            <w:r w:rsidRPr="00A933AD">
              <w:rPr>
                <w:rFonts w:cs="Arial"/>
                <w:b/>
                <w:sz w:val="20"/>
                <w:szCs w:val="20"/>
              </w:rPr>
              <w:t>100%</w:t>
            </w:r>
          </w:p>
        </w:tc>
      </w:tr>
    </w:tbl>
    <w:p w:rsidR="008A044E" w:rsidRDefault="008A044E" w:rsidP="008A044E">
      <w:pPr>
        <w:spacing w:line="260" w:lineRule="atLeast"/>
        <w:jc w:val="both"/>
        <w:rPr>
          <w:rFonts w:ascii="Gotham Book" w:hAnsi="Gotham Book" w:cs="Calibri"/>
          <w:sz w:val="20"/>
          <w:szCs w:val="20"/>
        </w:rPr>
      </w:pPr>
    </w:p>
    <w:p w:rsidR="005B618A" w:rsidRPr="00101651" w:rsidRDefault="005B618A" w:rsidP="005B618A">
      <w:pPr>
        <w:spacing w:line="300" w:lineRule="exact"/>
        <w:jc w:val="both"/>
        <w:rPr>
          <w:rFonts w:cs="Arial"/>
          <w:sz w:val="20"/>
          <w:szCs w:val="20"/>
        </w:rPr>
      </w:pPr>
      <w:r w:rsidRPr="00101651">
        <w:rPr>
          <w:rFonts w:cs="Arial"/>
          <w:sz w:val="20"/>
          <w:szCs w:val="20"/>
        </w:rPr>
        <w:t xml:space="preserve">The </w:t>
      </w:r>
      <w:r w:rsidR="00C0490C" w:rsidRPr="00C0490C">
        <w:rPr>
          <w:rFonts w:cs="Arial"/>
          <w:sz w:val="20"/>
          <w:szCs w:val="20"/>
        </w:rPr>
        <w:t>Trustees</w:t>
      </w:r>
      <w:r w:rsidRPr="00101651">
        <w:rPr>
          <w:rFonts w:cs="Arial"/>
          <w:sz w:val="20"/>
          <w:szCs w:val="20"/>
        </w:rPr>
        <w:t xml:space="preserve"> agreed the range of funds used in the strategy taking into account the maturity o</w:t>
      </w:r>
      <w:r w:rsidR="007C0DD8">
        <w:rPr>
          <w:rFonts w:cs="Arial"/>
          <w:sz w:val="20"/>
          <w:szCs w:val="20"/>
        </w:rPr>
        <w:t xml:space="preserve">f the liabilities. </w:t>
      </w:r>
      <w:r w:rsidR="004344F4" w:rsidRPr="00101651">
        <w:rPr>
          <w:rFonts w:cs="Arial"/>
          <w:sz w:val="20"/>
          <w:szCs w:val="20"/>
        </w:rPr>
        <w:t xml:space="preserve">The </w:t>
      </w:r>
      <w:r w:rsidR="00C0490C" w:rsidRPr="00C0490C">
        <w:rPr>
          <w:rFonts w:cs="Arial"/>
          <w:sz w:val="20"/>
          <w:szCs w:val="20"/>
        </w:rPr>
        <w:t>Trustees</w:t>
      </w:r>
      <w:r w:rsidR="00C0490C">
        <w:rPr>
          <w:rFonts w:cs="Arial"/>
          <w:sz w:val="20"/>
          <w:szCs w:val="20"/>
        </w:rPr>
        <w:t xml:space="preserve"> are</w:t>
      </w:r>
      <w:r w:rsidRPr="00101651">
        <w:rPr>
          <w:rFonts w:cs="Arial"/>
          <w:sz w:val="20"/>
          <w:szCs w:val="20"/>
        </w:rPr>
        <w:t xml:space="preserve"> satisfied that the funds selected are consistent with </w:t>
      </w:r>
      <w:r w:rsidR="004344F4" w:rsidRPr="00101651">
        <w:rPr>
          <w:rFonts w:cs="Arial"/>
          <w:sz w:val="20"/>
          <w:szCs w:val="20"/>
        </w:rPr>
        <w:t xml:space="preserve">its </w:t>
      </w:r>
      <w:r w:rsidRPr="00101651">
        <w:rPr>
          <w:rFonts w:cs="Arial"/>
          <w:sz w:val="20"/>
          <w:szCs w:val="20"/>
        </w:rPr>
        <w:t xml:space="preserve">investment objectives and that the range agreed is sufficiently robust to allow easy adjustment between the funds as the risk appetite changes and the </w:t>
      </w:r>
      <w:r w:rsidR="00074143">
        <w:rPr>
          <w:rFonts w:cs="Arial"/>
          <w:sz w:val="20"/>
          <w:szCs w:val="20"/>
        </w:rPr>
        <w:t>Scheme</w:t>
      </w:r>
      <w:r w:rsidRPr="00101651">
        <w:rPr>
          <w:rFonts w:cs="Arial"/>
          <w:sz w:val="20"/>
          <w:szCs w:val="20"/>
        </w:rPr>
        <w:t xml:space="preserve"> matures.</w:t>
      </w:r>
    </w:p>
    <w:p w:rsidR="00974E6D" w:rsidRDefault="00974E6D" w:rsidP="005B618A">
      <w:pPr>
        <w:spacing w:line="300" w:lineRule="exact"/>
        <w:jc w:val="both"/>
        <w:rPr>
          <w:rFonts w:cs="Arial"/>
          <w:sz w:val="20"/>
          <w:szCs w:val="20"/>
        </w:rPr>
      </w:pPr>
    </w:p>
    <w:p w:rsidR="00974E6D" w:rsidRPr="00974E6D" w:rsidRDefault="00974E6D" w:rsidP="00974E6D">
      <w:pPr>
        <w:spacing w:line="264" w:lineRule="auto"/>
        <w:jc w:val="both"/>
        <w:rPr>
          <w:rFonts w:cs="Arial"/>
          <w:bCs/>
          <w:color w:val="424FB3"/>
          <w:sz w:val="24"/>
        </w:rPr>
      </w:pPr>
      <w:r w:rsidRPr="00974E6D">
        <w:rPr>
          <w:rFonts w:cs="Arial"/>
          <w:bCs/>
          <w:color w:val="424FB3"/>
          <w:sz w:val="24"/>
        </w:rPr>
        <w:t>Expected Return</w:t>
      </w:r>
    </w:p>
    <w:p w:rsidR="009D2695" w:rsidRDefault="009D2695" w:rsidP="009D2695">
      <w:pPr>
        <w:tabs>
          <w:tab w:val="left" w:pos="2268"/>
        </w:tabs>
        <w:spacing w:line="300" w:lineRule="exact"/>
        <w:jc w:val="both"/>
        <w:rPr>
          <w:rFonts w:cs="Arial"/>
          <w:sz w:val="20"/>
          <w:szCs w:val="20"/>
        </w:rPr>
      </w:pPr>
    </w:p>
    <w:p w:rsidR="009D2695" w:rsidRPr="00101651" w:rsidRDefault="009D2695" w:rsidP="009D2695">
      <w:pPr>
        <w:spacing w:line="300" w:lineRule="exact"/>
        <w:jc w:val="both"/>
        <w:rPr>
          <w:rFonts w:cs="Arial"/>
          <w:sz w:val="20"/>
          <w:szCs w:val="20"/>
        </w:rPr>
      </w:pPr>
      <w:r>
        <w:rPr>
          <w:rFonts w:cs="Arial"/>
          <w:sz w:val="20"/>
          <w:szCs w:val="20"/>
        </w:rPr>
        <w:t>Over the long term, the Trustees’ expectations for asset returns are set with each manager and with a view to at least achieving a rate of return in line with the discount rate used in calculating the Scheme’s Technical Provisions.</w:t>
      </w:r>
      <w:r w:rsidRPr="00101651">
        <w:rPr>
          <w:rFonts w:cs="Arial"/>
          <w:sz w:val="20"/>
          <w:szCs w:val="20"/>
        </w:rPr>
        <w:t xml:space="preserve"> </w:t>
      </w:r>
    </w:p>
    <w:p w:rsidR="00D75330" w:rsidRDefault="009D2695" w:rsidP="009D2695">
      <w:pPr>
        <w:tabs>
          <w:tab w:val="left" w:pos="2268"/>
        </w:tabs>
        <w:spacing w:line="300" w:lineRule="exact"/>
        <w:jc w:val="both"/>
        <w:rPr>
          <w:rFonts w:cs="Arial"/>
          <w:sz w:val="20"/>
          <w:szCs w:val="20"/>
        </w:rPr>
      </w:pPr>
      <w:r>
        <w:rPr>
          <w:rFonts w:cs="Arial"/>
          <w:sz w:val="20"/>
          <w:szCs w:val="20"/>
        </w:rPr>
        <w:tab/>
      </w:r>
    </w:p>
    <w:p w:rsidR="00974E6D" w:rsidRPr="00101651" w:rsidRDefault="00974E6D" w:rsidP="00974E6D">
      <w:pPr>
        <w:spacing w:line="300" w:lineRule="exact"/>
        <w:jc w:val="both"/>
        <w:rPr>
          <w:rFonts w:cs="Arial"/>
          <w:sz w:val="20"/>
          <w:szCs w:val="20"/>
        </w:rPr>
      </w:pPr>
      <w:r w:rsidRPr="006976B6">
        <w:rPr>
          <w:rFonts w:cs="Arial"/>
          <w:sz w:val="20"/>
          <w:szCs w:val="20"/>
        </w:rPr>
        <w:t xml:space="preserve">The </w:t>
      </w:r>
      <w:r w:rsidR="00C0490C" w:rsidRPr="006976B6">
        <w:rPr>
          <w:rFonts w:cs="Arial"/>
          <w:sz w:val="20"/>
          <w:szCs w:val="20"/>
        </w:rPr>
        <w:t>Trustees</w:t>
      </w:r>
      <w:r w:rsidR="007C0DD8" w:rsidRPr="006976B6">
        <w:rPr>
          <w:rFonts w:cs="Arial"/>
          <w:sz w:val="20"/>
          <w:szCs w:val="20"/>
        </w:rPr>
        <w:t xml:space="preserve"> recognise</w:t>
      </w:r>
      <w:r w:rsidRPr="006976B6">
        <w:rPr>
          <w:rFonts w:cs="Arial"/>
          <w:sz w:val="20"/>
          <w:szCs w:val="20"/>
        </w:rPr>
        <w:t xml:space="preserve"> that, over the short-term, performance ma</w:t>
      </w:r>
      <w:r w:rsidR="0054408F">
        <w:rPr>
          <w:rFonts w:cs="Arial"/>
          <w:sz w:val="20"/>
          <w:szCs w:val="20"/>
        </w:rPr>
        <w:t>y deviate significantly from the</w:t>
      </w:r>
      <w:r w:rsidRPr="006976B6">
        <w:rPr>
          <w:rFonts w:cs="Arial"/>
          <w:sz w:val="20"/>
          <w:szCs w:val="20"/>
        </w:rPr>
        <w:t xml:space="preserve"> long-term expectation.  This ‘best estimate’ will also generally be higher than the estimate used for the actuarial valuation of the </w:t>
      </w:r>
      <w:r w:rsidR="00074143">
        <w:rPr>
          <w:rFonts w:cs="Arial"/>
          <w:sz w:val="20"/>
          <w:szCs w:val="20"/>
        </w:rPr>
        <w:t>Scheme</w:t>
      </w:r>
      <w:r w:rsidRPr="006976B6">
        <w:rPr>
          <w:rFonts w:cs="Arial"/>
          <w:sz w:val="20"/>
          <w:szCs w:val="20"/>
        </w:rPr>
        <w:t xml:space="preserve">’s liabilities. </w:t>
      </w:r>
      <w:r w:rsidR="008A044E">
        <w:rPr>
          <w:rFonts w:cs="Arial"/>
          <w:sz w:val="20"/>
          <w:szCs w:val="20"/>
        </w:rPr>
        <w:t xml:space="preserve"> </w:t>
      </w:r>
      <w:r w:rsidRPr="006976B6">
        <w:rPr>
          <w:rFonts w:cs="Arial"/>
          <w:sz w:val="20"/>
          <w:szCs w:val="20"/>
        </w:rPr>
        <w:t xml:space="preserve">For this purpose, a more prudent estimate of returns will generally be used, agreed by the </w:t>
      </w:r>
      <w:r w:rsidR="00C0490C" w:rsidRPr="006976B6">
        <w:rPr>
          <w:rFonts w:cs="Arial"/>
          <w:sz w:val="20"/>
          <w:szCs w:val="20"/>
        </w:rPr>
        <w:t>Trustees</w:t>
      </w:r>
      <w:r w:rsidRPr="006976B6">
        <w:rPr>
          <w:rFonts w:cs="Arial"/>
          <w:sz w:val="20"/>
          <w:szCs w:val="20"/>
        </w:rPr>
        <w:t xml:space="preserve"> on the basis of advice from the </w:t>
      </w:r>
      <w:r w:rsidR="007B2C01" w:rsidRPr="006976B6">
        <w:rPr>
          <w:rFonts w:cs="Arial"/>
          <w:sz w:val="20"/>
          <w:szCs w:val="20"/>
        </w:rPr>
        <w:t>Scheme Actuary</w:t>
      </w:r>
      <w:r w:rsidRPr="006976B6">
        <w:rPr>
          <w:rFonts w:cs="Arial"/>
          <w:sz w:val="20"/>
          <w:szCs w:val="20"/>
        </w:rPr>
        <w:t>.</w:t>
      </w:r>
    </w:p>
    <w:p w:rsidR="005B618A" w:rsidRDefault="005B618A" w:rsidP="005B618A">
      <w:pPr>
        <w:spacing w:line="300" w:lineRule="exact"/>
        <w:rPr>
          <w:rFonts w:ascii="Gotham Book" w:hAnsi="Gotham Book" w:cs="Calibri"/>
          <w:sz w:val="20"/>
          <w:szCs w:val="20"/>
        </w:rPr>
      </w:pPr>
    </w:p>
    <w:p w:rsidR="00634CB2" w:rsidRPr="00101651" w:rsidRDefault="0076758D" w:rsidP="00074143">
      <w:pPr>
        <w:pStyle w:val="ListParagraph"/>
        <w:numPr>
          <w:ilvl w:val="0"/>
          <w:numId w:val="1"/>
        </w:numPr>
        <w:spacing w:line="260" w:lineRule="atLeast"/>
        <w:ind w:left="567" w:hanging="567"/>
        <w:contextualSpacing/>
        <w:rPr>
          <w:color w:val="424FB3"/>
          <w:sz w:val="28"/>
          <w:szCs w:val="28"/>
        </w:rPr>
      </w:pPr>
      <w:r w:rsidRPr="00101651">
        <w:rPr>
          <w:color w:val="424FB3"/>
          <w:sz w:val="28"/>
          <w:szCs w:val="28"/>
        </w:rPr>
        <w:t>Cash F</w:t>
      </w:r>
      <w:r w:rsidR="00634CB2" w:rsidRPr="00101651">
        <w:rPr>
          <w:color w:val="424FB3"/>
          <w:sz w:val="28"/>
          <w:szCs w:val="28"/>
        </w:rPr>
        <w:t>low and Rebalancing</w:t>
      </w:r>
    </w:p>
    <w:p w:rsidR="005B618A" w:rsidRPr="005B618A" w:rsidRDefault="005B618A" w:rsidP="005B618A">
      <w:pPr>
        <w:spacing w:line="300" w:lineRule="exact"/>
        <w:rPr>
          <w:rFonts w:ascii="Gotham Book" w:hAnsi="Gotham Book" w:cs="Calibri"/>
          <w:sz w:val="20"/>
          <w:szCs w:val="20"/>
        </w:rPr>
      </w:pPr>
    </w:p>
    <w:p w:rsidR="005B618A" w:rsidRDefault="004344F4" w:rsidP="005B618A">
      <w:pPr>
        <w:spacing w:line="300" w:lineRule="exact"/>
        <w:jc w:val="both"/>
        <w:rPr>
          <w:rFonts w:cs="Arial"/>
          <w:sz w:val="20"/>
          <w:szCs w:val="20"/>
        </w:rPr>
      </w:pPr>
      <w:r w:rsidRPr="00101651">
        <w:rPr>
          <w:rFonts w:cs="Arial"/>
          <w:sz w:val="20"/>
          <w:szCs w:val="20"/>
        </w:rPr>
        <w:t xml:space="preserve">The </w:t>
      </w:r>
      <w:r w:rsidR="00C0490C" w:rsidRPr="00C0490C">
        <w:rPr>
          <w:rFonts w:cs="Arial"/>
          <w:sz w:val="20"/>
          <w:szCs w:val="20"/>
        </w:rPr>
        <w:t>Trustees</w:t>
      </w:r>
      <w:r w:rsidR="005B618A" w:rsidRPr="00101651">
        <w:rPr>
          <w:rFonts w:cs="Arial"/>
          <w:sz w:val="20"/>
          <w:szCs w:val="20"/>
        </w:rPr>
        <w:t xml:space="preserve"> will monitor the </w:t>
      </w:r>
      <w:r w:rsidR="00074143">
        <w:rPr>
          <w:rFonts w:cs="Arial"/>
          <w:sz w:val="20"/>
          <w:szCs w:val="20"/>
        </w:rPr>
        <w:t>Scheme</w:t>
      </w:r>
      <w:r w:rsidR="005B618A" w:rsidRPr="00101651">
        <w:rPr>
          <w:rFonts w:cs="Arial"/>
          <w:sz w:val="20"/>
          <w:szCs w:val="20"/>
        </w:rPr>
        <w:t>’s actual asset allocation on a regular basis and will decide on a course of action which may involve redirecting cash flows, a switch of assets or taking no action, takin</w:t>
      </w:r>
      <w:r w:rsidR="000C549F" w:rsidRPr="00101651">
        <w:rPr>
          <w:rFonts w:cs="Arial"/>
          <w:sz w:val="20"/>
          <w:szCs w:val="20"/>
        </w:rPr>
        <w:t>g into account advice from the Investment C</w:t>
      </w:r>
      <w:r w:rsidR="005B618A" w:rsidRPr="00101651">
        <w:rPr>
          <w:rFonts w:cs="Arial"/>
          <w:sz w:val="20"/>
          <w:szCs w:val="20"/>
        </w:rPr>
        <w:t>onsultant.</w:t>
      </w:r>
    </w:p>
    <w:p w:rsidR="00641ADA" w:rsidRPr="00641ADA" w:rsidRDefault="00641ADA" w:rsidP="00641ADA">
      <w:pPr>
        <w:spacing w:line="300" w:lineRule="exact"/>
        <w:jc w:val="both"/>
        <w:rPr>
          <w:rFonts w:cs="Arial"/>
          <w:sz w:val="20"/>
          <w:szCs w:val="20"/>
        </w:rPr>
      </w:pPr>
    </w:p>
    <w:p w:rsidR="00641ADA" w:rsidRDefault="003A7DBD" w:rsidP="003A7DBD">
      <w:pPr>
        <w:spacing w:line="300" w:lineRule="exact"/>
        <w:jc w:val="both"/>
        <w:rPr>
          <w:rFonts w:cs="Arial"/>
          <w:sz w:val="20"/>
          <w:szCs w:val="20"/>
        </w:rPr>
      </w:pPr>
      <w:r>
        <w:rPr>
          <w:rFonts w:cs="Arial"/>
          <w:sz w:val="20"/>
          <w:szCs w:val="20"/>
        </w:rPr>
        <w:t xml:space="preserve">The Trustees’ policy is to invest only in assets that are readily realisable in order to meet the pension payments as they fall due. The Trustees consider the assets above to be readily realisable. </w:t>
      </w:r>
    </w:p>
    <w:p w:rsidR="00EC0A7C" w:rsidRDefault="00EC0A7C" w:rsidP="003A7DBD">
      <w:pPr>
        <w:spacing w:line="300" w:lineRule="exact"/>
        <w:jc w:val="both"/>
        <w:rPr>
          <w:rFonts w:cs="Arial"/>
          <w:sz w:val="20"/>
          <w:szCs w:val="20"/>
        </w:rPr>
      </w:pPr>
    </w:p>
    <w:p w:rsidR="00634CB2" w:rsidRPr="00974E6D" w:rsidRDefault="00A3463E" w:rsidP="00074143">
      <w:pPr>
        <w:pStyle w:val="ListParagraph"/>
        <w:numPr>
          <w:ilvl w:val="0"/>
          <w:numId w:val="1"/>
        </w:numPr>
        <w:spacing w:line="260" w:lineRule="atLeast"/>
        <w:ind w:left="567" w:hanging="567"/>
        <w:contextualSpacing/>
        <w:rPr>
          <w:color w:val="6A2C91"/>
          <w:sz w:val="28"/>
          <w:szCs w:val="28"/>
        </w:rPr>
      </w:pPr>
      <w:r w:rsidRPr="00974E6D">
        <w:rPr>
          <w:color w:val="424FB3"/>
          <w:sz w:val="28"/>
          <w:szCs w:val="28"/>
        </w:rPr>
        <w:t>Investment</w:t>
      </w:r>
      <w:r w:rsidRPr="00974E6D">
        <w:rPr>
          <w:color w:val="6A2C91"/>
          <w:sz w:val="28"/>
          <w:szCs w:val="28"/>
        </w:rPr>
        <w:t xml:space="preserve"> </w:t>
      </w:r>
      <w:r w:rsidRPr="00974E6D">
        <w:rPr>
          <w:color w:val="424FB3"/>
          <w:sz w:val="28"/>
          <w:szCs w:val="28"/>
        </w:rPr>
        <w:t>Management Structure</w:t>
      </w:r>
    </w:p>
    <w:p w:rsidR="00A3463E" w:rsidRDefault="00A3463E" w:rsidP="00A3463E">
      <w:pPr>
        <w:spacing w:line="264" w:lineRule="auto"/>
        <w:jc w:val="both"/>
        <w:rPr>
          <w:rFonts w:cs="Arial"/>
          <w:sz w:val="20"/>
          <w:szCs w:val="20"/>
        </w:rPr>
      </w:pPr>
    </w:p>
    <w:p w:rsidR="00A3463E" w:rsidRPr="00DB4BED" w:rsidRDefault="00A3463E" w:rsidP="00A3463E">
      <w:pPr>
        <w:spacing w:line="264" w:lineRule="auto"/>
        <w:jc w:val="both"/>
        <w:rPr>
          <w:rFonts w:cs="Arial"/>
          <w:bCs/>
          <w:color w:val="424FB3"/>
          <w:sz w:val="24"/>
        </w:rPr>
      </w:pPr>
      <w:r w:rsidRPr="00DB4BED">
        <w:rPr>
          <w:rFonts w:cs="Arial"/>
          <w:bCs/>
          <w:color w:val="424FB3"/>
          <w:sz w:val="24"/>
        </w:rPr>
        <w:t>Investment Manager</w:t>
      </w:r>
    </w:p>
    <w:p w:rsidR="00A3463E" w:rsidRDefault="00A3463E" w:rsidP="00A3463E">
      <w:pPr>
        <w:spacing w:line="264" w:lineRule="auto"/>
        <w:jc w:val="both"/>
        <w:rPr>
          <w:rFonts w:cs="Arial"/>
          <w:sz w:val="20"/>
          <w:szCs w:val="20"/>
        </w:rPr>
      </w:pPr>
    </w:p>
    <w:p w:rsidR="00490D76" w:rsidRDefault="001763EA" w:rsidP="00490D76">
      <w:pPr>
        <w:spacing w:line="260" w:lineRule="atLeast"/>
        <w:jc w:val="both"/>
        <w:rPr>
          <w:rFonts w:cs="Arial"/>
          <w:sz w:val="20"/>
          <w:szCs w:val="20"/>
        </w:rPr>
      </w:pPr>
      <w:r>
        <w:rPr>
          <w:rFonts w:cs="Arial"/>
          <w:sz w:val="20"/>
          <w:szCs w:val="20"/>
        </w:rPr>
        <w:t xml:space="preserve">The Trustees </w:t>
      </w:r>
      <w:r w:rsidR="00077872">
        <w:rPr>
          <w:rFonts w:cs="Arial"/>
          <w:sz w:val="20"/>
          <w:szCs w:val="20"/>
        </w:rPr>
        <w:t>invest in a ra</w:t>
      </w:r>
      <w:r w:rsidR="00577AE8">
        <w:rPr>
          <w:rFonts w:cs="Arial"/>
          <w:sz w:val="20"/>
          <w:szCs w:val="20"/>
        </w:rPr>
        <w:t>nge of pooled funds with</w:t>
      </w:r>
      <w:r w:rsidR="00077872">
        <w:rPr>
          <w:rFonts w:cs="Arial"/>
          <w:sz w:val="20"/>
          <w:szCs w:val="20"/>
        </w:rPr>
        <w:t xml:space="preserve"> </w:t>
      </w:r>
      <w:r w:rsidR="00170783">
        <w:rPr>
          <w:rFonts w:cs="Arial"/>
          <w:sz w:val="20"/>
          <w:szCs w:val="20"/>
        </w:rPr>
        <w:t xml:space="preserve">two </w:t>
      </w:r>
      <w:r w:rsidR="00077872">
        <w:rPr>
          <w:rFonts w:cs="Arial"/>
          <w:sz w:val="20"/>
          <w:szCs w:val="20"/>
        </w:rPr>
        <w:t>investment managers</w:t>
      </w:r>
      <w:r w:rsidR="00170783">
        <w:rPr>
          <w:rFonts w:cs="Arial"/>
          <w:sz w:val="20"/>
          <w:szCs w:val="20"/>
        </w:rPr>
        <w:t>, Smith &amp; Williamson and Investec,</w:t>
      </w:r>
      <w:r w:rsidR="00577AE8">
        <w:rPr>
          <w:rFonts w:cs="Arial"/>
          <w:sz w:val="20"/>
          <w:szCs w:val="20"/>
        </w:rPr>
        <w:t xml:space="preserve"> </w:t>
      </w:r>
      <w:r w:rsidR="00077872">
        <w:rPr>
          <w:rFonts w:cs="Arial"/>
          <w:sz w:val="20"/>
          <w:szCs w:val="20"/>
        </w:rPr>
        <w:t>who are</w:t>
      </w:r>
      <w:r w:rsidR="00490D76" w:rsidRPr="00490D76">
        <w:rPr>
          <w:rFonts w:cs="Arial"/>
          <w:sz w:val="20"/>
          <w:szCs w:val="20"/>
        </w:rPr>
        <w:t xml:space="preserve"> regulated under the Financial Services and Markets Act, 2000.</w:t>
      </w:r>
    </w:p>
    <w:p w:rsidR="00896223" w:rsidRPr="00490D76" w:rsidRDefault="00896223" w:rsidP="00490D76">
      <w:pPr>
        <w:spacing w:line="260" w:lineRule="atLeast"/>
        <w:jc w:val="both"/>
        <w:rPr>
          <w:rFonts w:cs="Arial"/>
          <w:sz w:val="20"/>
          <w:szCs w:val="20"/>
        </w:rPr>
      </w:pPr>
    </w:p>
    <w:p w:rsidR="00490D76" w:rsidRDefault="00490D76" w:rsidP="00490D76">
      <w:pPr>
        <w:spacing w:line="260" w:lineRule="atLeast"/>
        <w:jc w:val="both"/>
        <w:rPr>
          <w:rFonts w:cs="Arial"/>
          <w:sz w:val="20"/>
          <w:szCs w:val="20"/>
        </w:rPr>
      </w:pPr>
      <w:r w:rsidRPr="00490D76">
        <w:rPr>
          <w:rFonts w:cs="Arial"/>
          <w:sz w:val="20"/>
          <w:szCs w:val="20"/>
        </w:rPr>
        <w:lastRenderedPageBreak/>
        <w:t xml:space="preserve">The Trustees have decided to invest in pooled funds, other collective investment vehicles, and cash. The </w:t>
      </w:r>
      <w:r w:rsidR="00074143">
        <w:rPr>
          <w:rFonts w:cs="Arial"/>
          <w:sz w:val="20"/>
          <w:szCs w:val="20"/>
        </w:rPr>
        <w:t>Scheme</w:t>
      </w:r>
      <w:r w:rsidRPr="00490D76">
        <w:rPr>
          <w:rFonts w:cs="Arial"/>
          <w:sz w:val="20"/>
          <w:szCs w:val="20"/>
        </w:rPr>
        <w:t xml:space="preserve"> does not invest directly in stocks, shares, bonds, derivatives etc.</w:t>
      </w:r>
    </w:p>
    <w:p w:rsidR="00591024" w:rsidRDefault="00591024" w:rsidP="00591024">
      <w:pPr>
        <w:spacing w:line="260" w:lineRule="atLeast"/>
        <w:jc w:val="both"/>
        <w:rPr>
          <w:rFonts w:ascii="Gotham Book" w:hAnsi="Gotham Book" w:cs="Calibri"/>
          <w:sz w:val="20"/>
          <w:szCs w:val="20"/>
        </w:rPr>
      </w:pPr>
    </w:p>
    <w:p w:rsidR="00591024" w:rsidRPr="00591024" w:rsidRDefault="00591024" w:rsidP="00591024">
      <w:pPr>
        <w:spacing w:line="260" w:lineRule="atLeast"/>
        <w:jc w:val="both"/>
        <w:rPr>
          <w:rFonts w:cs="Arial"/>
          <w:sz w:val="20"/>
          <w:szCs w:val="20"/>
        </w:rPr>
      </w:pPr>
      <w:r w:rsidRPr="00591024">
        <w:rPr>
          <w:rFonts w:cs="Arial"/>
          <w:sz w:val="20"/>
          <w:szCs w:val="20"/>
        </w:rPr>
        <w:t>The Trustees have decided to invest in pooled funds because:</w:t>
      </w:r>
    </w:p>
    <w:p w:rsidR="00591024" w:rsidRPr="00591024" w:rsidRDefault="00591024" w:rsidP="00591024">
      <w:pPr>
        <w:spacing w:line="260" w:lineRule="atLeast"/>
        <w:ind w:left="66"/>
        <w:jc w:val="both"/>
        <w:rPr>
          <w:rFonts w:cs="Arial"/>
          <w:sz w:val="20"/>
          <w:szCs w:val="20"/>
        </w:rPr>
      </w:pPr>
    </w:p>
    <w:p w:rsidR="00591024" w:rsidRPr="00591024" w:rsidRDefault="00591024" w:rsidP="00074143">
      <w:pPr>
        <w:pStyle w:val="ListParagraph"/>
        <w:numPr>
          <w:ilvl w:val="0"/>
          <w:numId w:val="5"/>
        </w:numPr>
        <w:spacing w:after="120" w:line="260" w:lineRule="atLeast"/>
        <w:contextualSpacing/>
        <w:jc w:val="both"/>
        <w:rPr>
          <w:sz w:val="20"/>
          <w:szCs w:val="20"/>
        </w:rPr>
      </w:pPr>
      <w:r w:rsidRPr="00591024">
        <w:rPr>
          <w:sz w:val="20"/>
          <w:szCs w:val="20"/>
        </w:rPr>
        <w:t xml:space="preserve">the </w:t>
      </w:r>
      <w:r w:rsidR="00074143">
        <w:rPr>
          <w:sz w:val="20"/>
          <w:szCs w:val="20"/>
        </w:rPr>
        <w:t>Scheme</w:t>
      </w:r>
      <w:r w:rsidRPr="00591024">
        <w:rPr>
          <w:sz w:val="20"/>
          <w:szCs w:val="20"/>
        </w:rPr>
        <w:t xml:space="preserve"> is not large enough to justify direct investment in equities or bonds on a cost-effective basis;</w:t>
      </w:r>
    </w:p>
    <w:p w:rsidR="00591024" w:rsidRPr="00591024" w:rsidRDefault="00591024" w:rsidP="00074143">
      <w:pPr>
        <w:pStyle w:val="ListParagraph"/>
        <w:numPr>
          <w:ilvl w:val="0"/>
          <w:numId w:val="5"/>
        </w:numPr>
        <w:spacing w:after="120" w:line="260" w:lineRule="atLeast"/>
        <w:contextualSpacing/>
        <w:jc w:val="both"/>
        <w:rPr>
          <w:sz w:val="20"/>
          <w:szCs w:val="20"/>
        </w:rPr>
      </w:pPr>
      <w:r w:rsidRPr="00591024">
        <w:rPr>
          <w:sz w:val="20"/>
          <w:szCs w:val="20"/>
        </w:rPr>
        <w:t xml:space="preserve">pooled funds allow the </w:t>
      </w:r>
      <w:r w:rsidR="00074143">
        <w:rPr>
          <w:sz w:val="20"/>
          <w:szCs w:val="20"/>
        </w:rPr>
        <w:t>Scheme</w:t>
      </w:r>
      <w:r w:rsidRPr="00591024">
        <w:rPr>
          <w:sz w:val="20"/>
          <w:szCs w:val="20"/>
        </w:rPr>
        <w:t xml:space="preserve"> to invest in a wider range of assets, which serves to reduce risk; and</w:t>
      </w:r>
    </w:p>
    <w:p w:rsidR="00591024" w:rsidRPr="00591024" w:rsidRDefault="00591024" w:rsidP="00074143">
      <w:pPr>
        <w:pStyle w:val="ListParagraph"/>
        <w:numPr>
          <w:ilvl w:val="0"/>
          <w:numId w:val="5"/>
        </w:numPr>
        <w:spacing w:after="120" w:line="260" w:lineRule="atLeast"/>
        <w:contextualSpacing/>
        <w:jc w:val="both"/>
        <w:rPr>
          <w:sz w:val="20"/>
          <w:szCs w:val="20"/>
        </w:rPr>
      </w:pPr>
      <w:r w:rsidRPr="00591024">
        <w:rPr>
          <w:sz w:val="20"/>
          <w:szCs w:val="20"/>
        </w:rPr>
        <w:t>pooled funds provide a more liquid form of investment than certain types of direct investment.</w:t>
      </w:r>
    </w:p>
    <w:p w:rsidR="00A3463E" w:rsidRPr="00DD5E70" w:rsidRDefault="00A3463E" w:rsidP="00346AF1">
      <w:pPr>
        <w:spacing w:line="264" w:lineRule="auto"/>
        <w:jc w:val="both"/>
        <w:rPr>
          <w:rFonts w:cs="Arial"/>
          <w:sz w:val="20"/>
          <w:szCs w:val="20"/>
        </w:rPr>
      </w:pPr>
    </w:p>
    <w:p w:rsidR="00A3463E" w:rsidRDefault="00A3463E" w:rsidP="00A3463E">
      <w:pPr>
        <w:spacing w:line="264" w:lineRule="auto"/>
        <w:jc w:val="both"/>
        <w:rPr>
          <w:rFonts w:cs="Arial"/>
          <w:sz w:val="20"/>
          <w:szCs w:val="20"/>
        </w:rPr>
      </w:pPr>
      <w:r w:rsidRPr="00DD5E70">
        <w:rPr>
          <w:rFonts w:cs="Arial"/>
          <w:sz w:val="20"/>
          <w:szCs w:val="20"/>
        </w:rPr>
        <w:t xml:space="preserve">The </w:t>
      </w:r>
      <w:r w:rsidR="00077872">
        <w:rPr>
          <w:rFonts w:cs="Arial"/>
          <w:sz w:val="20"/>
          <w:szCs w:val="20"/>
        </w:rPr>
        <w:t>investment m</w:t>
      </w:r>
      <w:r w:rsidR="005078CD">
        <w:rPr>
          <w:rFonts w:cs="Arial"/>
          <w:sz w:val="20"/>
          <w:szCs w:val="20"/>
        </w:rPr>
        <w:t>anager</w:t>
      </w:r>
      <w:r w:rsidR="00077872">
        <w:rPr>
          <w:rFonts w:cs="Arial"/>
          <w:sz w:val="20"/>
          <w:szCs w:val="20"/>
        </w:rPr>
        <w:t>s</w:t>
      </w:r>
      <w:r w:rsidRPr="00DD5E70">
        <w:rPr>
          <w:rFonts w:cs="Arial"/>
          <w:sz w:val="20"/>
          <w:szCs w:val="20"/>
        </w:rPr>
        <w:t xml:space="preserve"> appoint individual </w:t>
      </w:r>
      <w:r w:rsidRPr="006976B6">
        <w:rPr>
          <w:rFonts w:cs="Arial"/>
          <w:sz w:val="20"/>
          <w:szCs w:val="20"/>
        </w:rPr>
        <w:t>custodians</w:t>
      </w:r>
      <w:r w:rsidRPr="00DD5E70">
        <w:rPr>
          <w:rFonts w:cs="Arial"/>
          <w:sz w:val="20"/>
          <w:szCs w:val="20"/>
        </w:rPr>
        <w:t xml:space="preserve"> to hold the securities owned by the </w:t>
      </w:r>
      <w:r w:rsidR="00074143">
        <w:rPr>
          <w:rFonts w:cs="Arial"/>
          <w:sz w:val="20"/>
          <w:szCs w:val="20"/>
        </w:rPr>
        <w:t>Scheme</w:t>
      </w:r>
      <w:r w:rsidRPr="00DD5E70">
        <w:rPr>
          <w:rFonts w:cs="Arial"/>
          <w:sz w:val="20"/>
          <w:szCs w:val="20"/>
        </w:rPr>
        <w:t>.</w:t>
      </w:r>
      <w:r w:rsidR="00267155">
        <w:rPr>
          <w:rFonts w:cs="Arial"/>
          <w:sz w:val="20"/>
          <w:szCs w:val="20"/>
        </w:rPr>
        <w:t xml:space="preserve"> The custodians are independent of the Hospice.</w:t>
      </w:r>
    </w:p>
    <w:p w:rsidR="00A3463E" w:rsidRDefault="00A3463E" w:rsidP="00A3463E">
      <w:pPr>
        <w:spacing w:line="264" w:lineRule="auto"/>
        <w:jc w:val="both"/>
        <w:rPr>
          <w:rFonts w:cs="Arial"/>
          <w:sz w:val="20"/>
          <w:szCs w:val="20"/>
        </w:rPr>
      </w:pPr>
    </w:p>
    <w:p w:rsidR="00A3463E" w:rsidRDefault="00A3463E" w:rsidP="00A3463E">
      <w:pPr>
        <w:spacing w:line="260" w:lineRule="atLeast"/>
        <w:contextualSpacing/>
        <w:rPr>
          <w:rFonts w:cs="Arial"/>
          <w:sz w:val="20"/>
          <w:szCs w:val="20"/>
        </w:rPr>
      </w:pPr>
      <w:r w:rsidRPr="000B373E">
        <w:rPr>
          <w:rFonts w:cs="Arial"/>
          <w:sz w:val="20"/>
          <w:szCs w:val="20"/>
        </w:rPr>
        <w:t xml:space="preserve">The Trustees may, from time to time, decide to change the funds used within the overall investment strategy and the investment allocation between the funds as alternatives emerge, funds change and the </w:t>
      </w:r>
      <w:r w:rsidR="00074143">
        <w:rPr>
          <w:rFonts w:cs="Arial"/>
          <w:sz w:val="20"/>
          <w:szCs w:val="20"/>
        </w:rPr>
        <w:t>Scheme</w:t>
      </w:r>
      <w:r w:rsidRPr="000B373E">
        <w:rPr>
          <w:rFonts w:cs="Arial"/>
          <w:sz w:val="20"/>
          <w:szCs w:val="20"/>
        </w:rPr>
        <w:t xml:space="preserve"> develops.</w:t>
      </w:r>
    </w:p>
    <w:p w:rsidR="008E00B5" w:rsidRDefault="008E00B5" w:rsidP="00A3463E">
      <w:pPr>
        <w:spacing w:line="260" w:lineRule="atLeast"/>
        <w:contextualSpacing/>
        <w:rPr>
          <w:rFonts w:cs="Arial"/>
          <w:sz w:val="20"/>
          <w:szCs w:val="20"/>
        </w:rPr>
      </w:pPr>
    </w:p>
    <w:p w:rsidR="00634CB2" w:rsidRPr="00101651" w:rsidRDefault="00634CB2" w:rsidP="00074143">
      <w:pPr>
        <w:pStyle w:val="ListParagraph"/>
        <w:numPr>
          <w:ilvl w:val="0"/>
          <w:numId w:val="1"/>
        </w:numPr>
        <w:spacing w:line="260" w:lineRule="atLeast"/>
        <w:ind w:left="567" w:hanging="567"/>
        <w:contextualSpacing/>
        <w:rPr>
          <w:color w:val="424FB3"/>
          <w:sz w:val="28"/>
          <w:szCs w:val="28"/>
        </w:rPr>
      </w:pPr>
      <w:r w:rsidRPr="00101651">
        <w:rPr>
          <w:color w:val="424FB3"/>
          <w:sz w:val="28"/>
          <w:szCs w:val="28"/>
        </w:rPr>
        <w:t>Investment Monitoring</w:t>
      </w:r>
    </w:p>
    <w:p w:rsidR="005C48ED" w:rsidRPr="005C48ED" w:rsidRDefault="005C48ED" w:rsidP="005C48ED">
      <w:pPr>
        <w:spacing w:line="300" w:lineRule="exact"/>
        <w:rPr>
          <w:rFonts w:ascii="Gotham Book" w:hAnsi="Gotham Book" w:cs="Calibri"/>
          <w:sz w:val="20"/>
          <w:szCs w:val="20"/>
        </w:rPr>
      </w:pPr>
    </w:p>
    <w:p w:rsidR="00A3463E" w:rsidRPr="001E017D" w:rsidRDefault="00A3463E" w:rsidP="00A3463E">
      <w:pPr>
        <w:spacing w:line="264" w:lineRule="auto"/>
        <w:jc w:val="both"/>
        <w:rPr>
          <w:rFonts w:cs="Arial"/>
          <w:sz w:val="20"/>
          <w:szCs w:val="20"/>
        </w:rPr>
      </w:pPr>
      <w:r w:rsidRPr="001E017D">
        <w:rPr>
          <w:rFonts w:cs="Arial"/>
          <w:sz w:val="20"/>
          <w:szCs w:val="20"/>
        </w:rPr>
        <w:t xml:space="preserve">Where necessary, the Trustees may request the </w:t>
      </w:r>
      <w:r w:rsidR="00077872">
        <w:rPr>
          <w:rFonts w:cs="Arial"/>
          <w:sz w:val="20"/>
          <w:szCs w:val="20"/>
        </w:rPr>
        <w:t>investment m</w:t>
      </w:r>
      <w:r w:rsidR="005078CD">
        <w:rPr>
          <w:rFonts w:cs="Arial"/>
          <w:sz w:val="20"/>
          <w:szCs w:val="20"/>
        </w:rPr>
        <w:t>anager</w:t>
      </w:r>
      <w:r w:rsidR="000B4EAE">
        <w:rPr>
          <w:rFonts w:cs="Arial"/>
          <w:sz w:val="20"/>
          <w:szCs w:val="20"/>
        </w:rPr>
        <w:t>s</w:t>
      </w:r>
      <w:r w:rsidRPr="001E017D">
        <w:rPr>
          <w:rFonts w:cs="Arial"/>
          <w:sz w:val="20"/>
          <w:szCs w:val="20"/>
        </w:rPr>
        <w:t xml:space="preserve"> to attend Trustees’ meetings in order to report on </w:t>
      </w:r>
      <w:r w:rsidR="00346AF1" w:rsidRPr="001E017D">
        <w:rPr>
          <w:rFonts w:cs="Arial"/>
          <w:sz w:val="20"/>
          <w:szCs w:val="20"/>
        </w:rPr>
        <w:t>their</w:t>
      </w:r>
      <w:r w:rsidRPr="001E017D">
        <w:rPr>
          <w:rFonts w:cs="Arial"/>
          <w:sz w:val="20"/>
          <w:szCs w:val="20"/>
        </w:rPr>
        <w:t xml:space="preserve"> activity and performance, to outline their views on future investment conditions and to answer any questions the Trustees may have.</w:t>
      </w:r>
      <w:r w:rsidR="00077872">
        <w:rPr>
          <w:rFonts w:cs="Arial"/>
          <w:sz w:val="20"/>
          <w:szCs w:val="20"/>
        </w:rPr>
        <w:t xml:space="preserve"> The Trustees will endeavour to meet their investment managers at least annually.</w:t>
      </w:r>
    </w:p>
    <w:p w:rsidR="00A3463E" w:rsidRPr="0092784D" w:rsidRDefault="00A3463E" w:rsidP="00A3463E">
      <w:pPr>
        <w:spacing w:line="264" w:lineRule="auto"/>
        <w:jc w:val="both"/>
        <w:rPr>
          <w:rFonts w:cs="Arial"/>
          <w:sz w:val="20"/>
          <w:szCs w:val="20"/>
        </w:rPr>
      </w:pPr>
    </w:p>
    <w:p w:rsidR="0092784D" w:rsidRPr="0092784D" w:rsidRDefault="00170783" w:rsidP="0092784D">
      <w:pPr>
        <w:spacing w:line="260" w:lineRule="atLeast"/>
        <w:jc w:val="both"/>
        <w:rPr>
          <w:rFonts w:cs="Arial"/>
          <w:sz w:val="20"/>
          <w:szCs w:val="20"/>
        </w:rPr>
      </w:pPr>
      <w:r>
        <w:rPr>
          <w:rFonts w:cs="Arial"/>
          <w:sz w:val="20"/>
          <w:szCs w:val="20"/>
        </w:rPr>
        <w:t>The investment managers provide</w:t>
      </w:r>
      <w:r w:rsidR="0092784D" w:rsidRPr="0092784D">
        <w:rPr>
          <w:rFonts w:cs="Arial"/>
          <w:sz w:val="20"/>
          <w:szCs w:val="20"/>
        </w:rPr>
        <w:t xml:space="preserve"> the Trustees with periodic reports setting out a valuation of the funds and a commentary on performance.</w:t>
      </w:r>
    </w:p>
    <w:p w:rsidR="0092784D" w:rsidRPr="0092784D" w:rsidRDefault="0092784D" w:rsidP="0092784D">
      <w:pPr>
        <w:spacing w:line="260" w:lineRule="atLeast"/>
        <w:jc w:val="both"/>
        <w:rPr>
          <w:rFonts w:cs="Arial"/>
          <w:sz w:val="20"/>
          <w:szCs w:val="20"/>
        </w:rPr>
      </w:pPr>
    </w:p>
    <w:p w:rsidR="0092784D" w:rsidRDefault="0092784D" w:rsidP="0092784D">
      <w:pPr>
        <w:spacing w:line="260" w:lineRule="atLeast"/>
        <w:jc w:val="both"/>
        <w:rPr>
          <w:rFonts w:cs="Arial"/>
          <w:sz w:val="20"/>
          <w:szCs w:val="20"/>
        </w:rPr>
      </w:pPr>
      <w:r w:rsidRPr="0092784D">
        <w:rPr>
          <w:rFonts w:cs="Arial"/>
          <w:sz w:val="20"/>
          <w:szCs w:val="20"/>
        </w:rPr>
        <w:t>The Investment Consultant will provide periodic advice to the Trustees commenting on performance and asset allocation.</w:t>
      </w:r>
    </w:p>
    <w:p w:rsidR="00C54494" w:rsidRDefault="00C54494" w:rsidP="0092784D">
      <w:pPr>
        <w:spacing w:line="260" w:lineRule="atLeast"/>
        <w:jc w:val="both"/>
        <w:rPr>
          <w:rFonts w:cs="Arial"/>
          <w:sz w:val="20"/>
          <w:szCs w:val="20"/>
        </w:rPr>
      </w:pPr>
    </w:p>
    <w:p w:rsidR="00C54494" w:rsidRPr="00C54494" w:rsidRDefault="00C54494" w:rsidP="00C54494">
      <w:pPr>
        <w:spacing w:line="300" w:lineRule="exact"/>
        <w:jc w:val="both"/>
        <w:rPr>
          <w:rFonts w:cs="Arial"/>
          <w:sz w:val="20"/>
          <w:szCs w:val="20"/>
        </w:rPr>
      </w:pPr>
      <w:r w:rsidRPr="00C54494">
        <w:rPr>
          <w:rFonts w:cs="Arial"/>
          <w:sz w:val="20"/>
          <w:szCs w:val="20"/>
          <w:highlight w:val="yellow"/>
        </w:rPr>
        <w:t>The Investment Managers will supply the Investment Consultant with sufficient information when requested in order to monitor financial and non-financial performance.</w:t>
      </w:r>
      <w:r w:rsidRPr="00C54494">
        <w:rPr>
          <w:rFonts w:cs="Arial"/>
          <w:sz w:val="20"/>
          <w:szCs w:val="20"/>
        </w:rPr>
        <w:t xml:space="preserve"> </w:t>
      </w:r>
    </w:p>
    <w:p w:rsidR="00C54494" w:rsidRPr="00C54494" w:rsidRDefault="00C54494" w:rsidP="00C54494">
      <w:pPr>
        <w:spacing w:line="300" w:lineRule="exact"/>
        <w:jc w:val="both"/>
        <w:rPr>
          <w:rFonts w:cs="Arial"/>
          <w:sz w:val="20"/>
          <w:szCs w:val="20"/>
        </w:rPr>
      </w:pPr>
    </w:p>
    <w:p w:rsidR="00C54494" w:rsidRPr="00C54494" w:rsidRDefault="00C54494" w:rsidP="00C54494">
      <w:pPr>
        <w:numPr>
          <w:ilvl w:val="0"/>
          <w:numId w:val="1"/>
        </w:numPr>
        <w:spacing w:line="260" w:lineRule="atLeast"/>
        <w:ind w:left="567" w:hanging="567"/>
        <w:contextualSpacing/>
        <w:jc w:val="both"/>
        <w:rPr>
          <w:rFonts w:eastAsia="Calibri" w:cs="Arial"/>
          <w:color w:val="424FB3"/>
          <w:sz w:val="28"/>
          <w:szCs w:val="28"/>
          <w:highlight w:val="yellow"/>
          <w:lang w:eastAsia="en-GB"/>
        </w:rPr>
      </w:pPr>
      <w:r w:rsidRPr="00C54494">
        <w:rPr>
          <w:rFonts w:eastAsia="Calibri" w:cs="Arial"/>
          <w:color w:val="424FB3"/>
          <w:sz w:val="28"/>
          <w:szCs w:val="28"/>
          <w:highlight w:val="yellow"/>
          <w:lang w:eastAsia="en-GB"/>
        </w:rPr>
        <w:t>Portfolio Turnover Costs</w:t>
      </w:r>
    </w:p>
    <w:p w:rsidR="00C54494" w:rsidRPr="00C54494" w:rsidRDefault="00C54494" w:rsidP="00C54494">
      <w:pPr>
        <w:spacing w:line="300" w:lineRule="exact"/>
        <w:jc w:val="both"/>
        <w:rPr>
          <w:rFonts w:cs="Arial"/>
          <w:sz w:val="20"/>
          <w:szCs w:val="20"/>
          <w:highlight w:val="yellow"/>
        </w:rPr>
      </w:pPr>
    </w:p>
    <w:p w:rsidR="00C54494" w:rsidRPr="00C54494" w:rsidRDefault="00C54494" w:rsidP="00C54494">
      <w:pPr>
        <w:spacing w:line="300" w:lineRule="exact"/>
        <w:jc w:val="both"/>
        <w:rPr>
          <w:rFonts w:cs="Arial"/>
          <w:sz w:val="20"/>
          <w:szCs w:val="20"/>
          <w:highlight w:val="yellow"/>
        </w:rPr>
      </w:pPr>
      <w:r w:rsidRPr="00C54494">
        <w:rPr>
          <w:rFonts w:cs="Arial"/>
          <w:sz w:val="20"/>
          <w:szCs w:val="20"/>
          <w:highlight w:val="yellow"/>
        </w:rPr>
        <w:t>The Trustees expect the Investment Managers to change underlying holdings only to an extent required to meet their investment objectives.  The reasonableness of such turnover will vary by fund and change according to market conditions.</w:t>
      </w:r>
    </w:p>
    <w:p w:rsidR="00C54494" w:rsidRPr="00C54494" w:rsidRDefault="00C54494" w:rsidP="00C54494">
      <w:pPr>
        <w:spacing w:line="300" w:lineRule="exact"/>
        <w:jc w:val="both"/>
        <w:rPr>
          <w:rFonts w:cs="Arial"/>
          <w:sz w:val="20"/>
          <w:szCs w:val="20"/>
          <w:highlight w:val="yellow"/>
        </w:rPr>
      </w:pPr>
    </w:p>
    <w:p w:rsidR="00C54494" w:rsidRPr="00C54494" w:rsidRDefault="00C54494" w:rsidP="00C54494">
      <w:pPr>
        <w:spacing w:line="300" w:lineRule="exact"/>
        <w:jc w:val="both"/>
        <w:rPr>
          <w:rFonts w:cs="Arial"/>
          <w:sz w:val="20"/>
          <w:szCs w:val="20"/>
          <w:highlight w:val="yellow"/>
        </w:rPr>
      </w:pPr>
      <w:r w:rsidRPr="00C54494">
        <w:rPr>
          <w:rFonts w:cs="Arial"/>
          <w:sz w:val="20"/>
          <w:szCs w:val="20"/>
          <w:highlight w:val="yellow"/>
        </w:rPr>
        <w:t xml:space="preserve">The Trustees therefore do not set a specific portfolio turnover target for their strategy or the underlying funds.  </w:t>
      </w:r>
    </w:p>
    <w:p w:rsidR="00C54494" w:rsidRPr="00C54494" w:rsidRDefault="00C54494" w:rsidP="00C54494">
      <w:pPr>
        <w:spacing w:line="300" w:lineRule="exact"/>
        <w:jc w:val="both"/>
        <w:rPr>
          <w:rFonts w:cs="Arial"/>
          <w:sz w:val="20"/>
          <w:szCs w:val="20"/>
          <w:highlight w:val="yellow"/>
        </w:rPr>
      </w:pPr>
    </w:p>
    <w:p w:rsidR="00C54494" w:rsidRPr="00C54494" w:rsidRDefault="00C54494" w:rsidP="00C54494">
      <w:pPr>
        <w:spacing w:line="300" w:lineRule="exact"/>
        <w:jc w:val="both"/>
        <w:rPr>
          <w:rFonts w:cs="Arial"/>
          <w:sz w:val="20"/>
          <w:szCs w:val="20"/>
          <w:highlight w:val="yellow"/>
        </w:rPr>
      </w:pPr>
      <w:r w:rsidRPr="00C54494">
        <w:rPr>
          <w:rFonts w:cs="Arial"/>
          <w:sz w:val="20"/>
          <w:szCs w:val="20"/>
          <w:highlight w:val="yellow"/>
        </w:rPr>
        <w:t>The Investment Managers when requested by the Investment Consultant shall provide information on portfolio turnover and associated costs so that this can be monitored, as appropriate.</w:t>
      </w:r>
    </w:p>
    <w:p w:rsidR="00C54494" w:rsidRPr="00C54494" w:rsidRDefault="00C54494" w:rsidP="00C54494">
      <w:pPr>
        <w:spacing w:line="300" w:lineRule="exact"/>
        <w:jc w:val="both"/>
        <w:rPr>
          <w:rFonts w:cs="Arial"/>
          <w:sz w:val="20"/>
          <w:szCs w:val="20"/>
          <w:highlight w:val="yellow"/>
        </w:rPr>
      </w:pPr>
    </w:p>
    <w:p w:rsidR="00634CB2" w:rsidRPr="00101651" w:rsidRDefault="00634CB2" w:rsidP="00074143">
      <w:pPr>
        <w:pStyle w:val="ListParagraph"/>
        <w:numPr>
          <w:ilvl w:val="0"/>
          <w:numId w:val="1"/>
        </w:numPr>
        <w:spacing w:line="260" w:lineRule="atLeast"/>
        <w:ind w:left="567" w:hanging="567"/>
        <w:contextualSpacing/>
        <w:rPr>
          <w:color w:val="424FB3"/>
          <w:sz w:val="28"/>
          <w:szCs w:val="28"/>
        </w:rPr>
      </w:pPr>
      <w:r w:rsidRPr="00101651">
        <w:rPr>
          <w:color w:val="424FB3"/>
          <w:sz w:val="28"/>
          <w:szCs w:val="28"/>
        </w:rPr>
        <w:t>Corporate Governance</w:t>
      </w:r>
    </w:p>
    <w:p w:rsidR="005C48ED" w:rsidRPr="005C48ED" w:rsidRDefault="005C48ED" w:rsidP="005C48ED">
      <w:pPr>
        <w:spacing w:line="300" w:lineRule="exact"/>
        <w:rPr>
          <w:rFonts w:ascii="Gotham Book" w:hAnsi="Gotham Book" w:cs="Calibri"/>
          <w:sz w:val="20"/>
          <w:szCs w:val="20"/>
        </w:rPr>
      </w:pPr>
    </w:p>
    <w:p w:rsidR="005C48ED" w:rsidRDefault="00EC2618" w:rsidP="005C48ED">
      <w:pPr>
        <w:spacing w:line="300" w:lineRule="exact"/>
        <w:jc w:val="both"/>
        <w:rPr>
          <w:rFonts w:cs="Arial"/>
          <w:sz w:val="20"/>
          <w:szCs w:val="20"/>
        </w:rPr>
      </w:pPr>
      <w:r w:rsidRPr="00346AF1">
        <w:rPr>
          <w:rFonts w:cs="Arial"/>
          <w:sz w:val="20"/>
          <w:szCs w:val="20"/>
        </w:rPr>
        <w:t xml:space="preserve">The </w:t>
      </w:r>
      <w:r w:rsidR="00C0490C" w:rsidRPr="00346AF1">
        <w:rPr>
          <w:rFonts w:cs="Arial"/>
          <w:sz w:val="20"/>
          <w:szCs w:val="20"/>
        </w:rPr>
        <w:t>Trustees</w:t>
      </w:r>
      <w:r w:rsidR="005C48ED" w:rsidRPr="00346AF1">
        <w:rPr>
          <w:rFonts w:cs="Arial"/>
          <w:sz w:val="20"/>
          <w:szCs w:val="20"/>
        </w:rPr>
        <w:t xml:space="preserve"> wish to encourage best practice in terms of activism. </w:t>
      </w:r>
      <w:r w:rsidR="00B60DE8" w:rsidRPr="00346AF1">
        <w:rPr>
          <w:rFonts w:cs="Arial"/>
          <w:sz w:val="20"/>
          <w:szCs w:val="20"/>
        </w:rPr>
        <w:t xml:space="preserve"> </w:t>
      </w:r>
      <w:r w:rsidR="005C48ED" w:rsidRPr="00346AF1">
        <w:rPr>
          <w:rFonts w:cs="Arial"/>
          <w:sz w:val="20"/>
          <w:szCs w:val="20"/>
        </w:rPr>
        <w:t xml:space="preserve">The </w:t>
      </w:r>
      <w:r w:rsidR="00C0490C" w:rsidRPr="00346AF1">
        <w:rPr>
          <w:rFonts w:cs="Arial"/>
          <w:sz w:val="20"/>
          <w:szCs w:val="20"/>
        </w:rPr>
        <w:t>Trustees</w:t>
      </w:r>
      <w:r w:rsidR="005C48ED" w:rsidRPr="00346AF1">
        <w:rPr>
          <w:rFonts w:cs="Arial"/>
          <w:sz w:val="20"/>
          <w:szCs w:val="20"/>
        </w:rPr>
        <w:t xml:space="preserve"> accept that by using pooled investment vehicles</w:t>
      </w:r>
      <w:r w:rsidR="00B60DE8" w:rsidRPr="00346AF1">
        <w:rPr>
          <w:rFonts w:cs="Arial"/>
          <w:sz w:val="20"/>
          <w:szCs w:val="20"/>
        </w:rPr>
        <w:t>,</w:t>
      </w:r>
      <w:r w:rsidR="005C48ED" w:rsidRPr="00346AF1">
        <w:rPr>
          <w:rFonts w:cs="Arial"/>
          <w:sz w:val="20"/>
          <w:szCs w:val="20"/>
        </w:rPr>
        <w:t xml:space="preserve"> the day-to-day application of voting rights will be carried out by the </w:t>
      </w:r>
      <w:r w:rsidR="00A11FB6">
        <w:rPr>
          <w:rFonts w:cs="Arial"/>
          <w:sz w:val="20"/>
          <w:szCs w:val="20"/>
        </w:rPr>
        <w:t>investment m</w:t>
      </w:r>
      <w:r w:rsidR="005078CD">
        <w:rPr>
          <w:rFonts w:cs="Arial"/>
          <w:sz w:val="20"/>
          <w:szCs w:val="20"/>
        </w:rPr>
        <w:t>anager</w:t>
      </w:r>
      <w:r w:rsidR="00A11FB6">
        <w:rPr>
          <w:rFonts w:cs="Arial"/>
          <w:sz w:val="20"/>
          <w:szCs w:val="20"/>
        </w:rPr>
        <w:t>s</w:t>
      </w:r>
      <w:r w:rsidR="005C48ED" w:rsidRPr="00346AF1">
        <w:rPr>
          <w:rFonts w:cs="Arial"/>
          <w:sz w:val="20"/>
          <w:szCs w:val="20"/>
        </w:rPr>
        <w:t xml:space="preserve">. </w:t>
      </w:r>
      <w:r w:rsidR="00B60DE8" w:rsidRPr="00346AF1">
        <w:rPr>
          <w:rFonts w:cs="Arial"/>
          <w:sz w:val="20"/>
          <w:szCs w:val="20"/>
        </w:rPr>
        <w:t xml:space="preserve"> </w:t>
      </w:r>
      <w:r w:rsidR="005C48ED" w:rsidRPr="00346AF1">
        <w:rPr>
          <w:rFonts w:cs="Arial"/>
          <w:sz w:val="20"/>
          <w:szCs w:val="20"/>
        </w:rPr>
        <w:t>Consequently</w:t>
      </w:r>
      <w:r w:rsidR="00B60DE8" w:rsidRPr="00346AF1">
        <w:rPr>
          <w:rFonts w:cs="Arial"/>
          <w:sz w:val="20"/>
          <w:szCs w:val="20"/>
        </w:rPr>
        <w:t>,</w:t>
      </w:r>
      <w:r w:rsidRPr="00346AF1">
        <w:rPr>
          <w:rFonts w:cs="Arial"/>
          <w:sz w:val="20"/>
          <w:szCs w:val="20"/>
        </w:rPr>
        <w:t xml:space="preserve"> the </w:t>
      </w:r>
      <w:r w:rsidR="00C0490C" w:rsidRPr="00346AF1">
        <w:rPr>
          <w:rFonts w:cs="Arial"/>
          <w:sz w:val="20"/>
          <w:szCs w:val="20"/>
        </w:rPr>
        <w:t>Trustees</w:t>
      </w:r>
      <w:r w:rsidR="005C48ED" w:rsidRPr="00346AF1">
        <w:rPr>
          <w:rFonts w:cs="Arial"/>
          <w:sz w:val="20"/>
          <w:szCs w:val="20"/>
        </w:rPr>
        <w:t xml:space="preserve"> expect the </w:t>
      </w:r>
      <w:r w:rsidR="00074143">
        <w:rPr>
          <w:rFonts w:cs="Arial"/>
          <w:sz w:val="20"/>
          <w:szCs w:val="20"/>
        </w:rPr>
        <w:t>Scheme</w:t>
      </w:r>
      <w:r w:rsidR="005C48ED" w:rsidRPr="00346AF1">
        <w:rPr>
          <w:rFonts w:cs="Arial"/>
          <w:sz w:val="20"/>
          <w:szCs w:val="20"/>
        </w:rPr>
        <w:t xml:space="preserve">’s </w:t>
      </w:r>
      <w:r w:rsidR="00A11FB6">
        <w:rPr>
          <w:rFonts w:cs="Arial"/>
          <w:sz w:val="20"/>
          <w:szCs w:val="20"/>
        </w:rPr>
        <w:t>investment m</w:t>
      </w:r>
      <w:r w:rsidR="005078CD">
        <w:rPr>
          <w:rFonts w:cs="Arial"/>
          <w:sz w:val="20"/>
          <w:szCs w:val="20"/>
        </w:rPr>
        <w:t>anager</w:t>
      </w:r>
      <w:r w:rsidR="00A11FB6">
        <w:rPr>
          <w:rFonts w:cs="Arial"/>
          <w:sz w:val="20"/>
          <w:szCs w:val="20"/>
        </w:rPr>
        <w:t>s</w:t>
      </w:r>
      <w:r w:rsidR="005C48ED" w:rsidRPr="00346AF1">
        <w:rPr>
          <w:rFonts w:cs="Arial"/>
          <w:sz w:val="20"/>
          <w:szCs w:val="20"/>
        </w:rPr>
        <w:t xml:space="preserve"> to adopt a voting policy that is in accordance with best industry practice.</w:t>
      </w:r>
    </w:p>
    <w:p w:rsidR="000D0853" w:rsidRDefault="000D0853" w:rsidP="005C48ED">
      <w:pPr>
        <w:spacing w:line="300" w:lineRule="exact"/>
        <w:rPr>
          <w:rFonts w:ascii="Gotham Book" w:hAnsi="Gotham Book" w:cs="Calibri"/>
          <w:sz w:val="20"/>
          <w:szCs w:val="20"/>
        </w:rPr>
      </w:pPr>
    </w:p>
    <w:p w:rsidR="00634CB2" w:rsidRPr="00101651" w:rsidRDefault="008E00B5" w:rsidP="00074143">
      <w:pPr>
        <w:pStyle w:val="ListParagraph"/>
        <w:numPr>
          <w:ilvl w:val="0"/>
          <w:numId w:val="1"/>
        </w:numPr>
        <w:spacing w:line="260" w:lineRule="atLeast"/>
        <w:ind w:left="567" w:hanging="567"/>
        <w:contextualSpacing/>
        <w:rPr>
          <w:color w:val="424FB3"/>
          <w:sz w:val="28"/>
          <w:szCs w:val="28"/>
        </w:rPr>
      </w:pPr>
      <w:r>
        <w:rPr>
          <w:color w:val="424FB3"/>
          <w:sz w:val="28"/>
          <w:szCs w:val="28"/>
        </w:rPr>
        <w:t>Socially Responsible Investment</w:t>
      </w:r>
    </w:p>
    <w:p w:rsidR="005C48ED" w:rsidRPr="005C48ED" w:rsidRDefault="005C48ED" w:rsidP="005C48ED">
      <w:pPr>
        <w:spacing w:line="300" w:lineRule="exact"/>
        <w:ind w:left="66"/>
        <w:rPr>
          <w:rFonts w:ascii="Gotham Book" w:hAnsi="Gotham Book" w:cs="Calibri"/>
          <w:sz w:val="20"/>
          <w:szCs w:val="20"/>
        </w:rPr>
      </w:pPr>
    </w:p>
    <w:p w:rsidR="00734DEE" w:rsidRPr="00346AF1" w:rsidRDefault="00734DEE" w:rsidP="00734DEE">
      <w:pPr>
        <w:pStyle w:val="ListParagraph"/>
        <w:spacing w:line="300" w:lineRule="exact"/>
        <w:ind w:left="0"/>
        <w:jc w:val="both"/>
        <w:rPr>
          <w:rFonts w:eastAsia="MS Mincho"/>
          <w:sz w:val="20"/>
          <w:szCs w:val="20"/>
          <w:lang w:eastAsia="ja-JP"/>
        </w:rPr>
      </w:pPr>
      <w:r w:rsidRPr="00346AF1">
        <w:rPr>
          <w:rFonts w:eastAsia="MS Mincho"/>
          <w:sz w:val="20"/>
          <w:szCs w:val="20"/>
          <w:lang w:eastAsia="ja-JP"/>
        </w:rPr>
        <w:t xml:space="preserve">The Trustees believe that the consideration of financially material Environmental (including climate change), Social and Governance (ESG) factors in investment decision making can lead to better risk adjusted investment returns. The Trustees expect </w:t>
      </w:r>
      <w:r w:rsidR="00CB2AA7" w:rsidRPr="00346AF1">
        <w:rPr>
          <w:rFonts w:eastAsia="MS Mincho"/>
          <w:sz w:val="20"/>
          <w:szCs w:val="20"/>
          <w:lang w:eastAsia="ja-JP"/>
        </w:rPr>
        <w:t>their</w:t>
      </w:r>
      <w:r w:rsidR="00A11FB6">
        <w:rPr>
          <w:rFonts w:eastAsia="MS Mincho"/>
          <w:sz w:val="20"/>
          <w:szCs w:val="20"/>
          <w:lang w:eastAsia="ja-JP"/>
        </w:rPr>
        <w:t xml:space="preserve"> investment m</w:t>
      </w:r>
      <w:r w:rsidRPr="00346AF1">
        <w:rPr>
          <w:rFonts w:eastAsia="MS Mincho"/>
          <w:sz w:val="20"/>
          <w:szCs w:val="20"/>
          <w:lang w:eastAsia="ja-JP"/>
        </w:rPr>
        <w:t>anager</w:t>
      </w:r>
      <w:r w:rsidR="00A11FB6">
        <w:rPr>
          <w:rFonts w:eastAsia="MS Mincho"/>
          <w:sz w:val="20"/>
          <w:szCs w:val="20"/>
          <w:lang w:eastAsia="ja-JP"/>
        </w:rPr>
        <w:t>s</w:t>
      </w:r>
      <w:r w:rsidRPr="00346AF1">
        <w:rPr>
          <w:rFonts w:eastAsia="MS Mincho"/>
          <w:sz w:val="20"/>
          <w:szCs w:val="20"/>
          <w:lang w:eastAsia="ja-JP"/>
        </w:rPr>
        <w:t>, when exercising discretion in investment decision making, to take financially material ESG factors into account. On an ongoing basis the Trustees assess the</w:t>
      </w:r>
      <w:r w:rsidR="00CB2AA7" w:rsidRPr="00346AF1">
        <w:rPr>
          <w:rFonts w:eastAsia="MS Mincho"/>
          <w:sz w:val="20"/>
          <w:szCs w:val="20"/>
          <w:lang w:eastAsia="ja-JP"/>
        </w:rPr>
        <w:t xml:space="preserve"> ESG integration capability of their</w:t>
      </w:r>
      <w:r w:rsidRPr="00346AF1">
        <w:rPr>
          <w:rFonts w:eastAsia="MS Mincho"/>
          <w:sz w:val="20"/>
          <w:szCs w:val="20"/>
          <w:lang w:eastAsia="ja-JP"/>
        </w:rPr>
        <w:t xml:space="preserve"> </w:t>
      </w:r>
      <w:r w:rsidR="00A11FB6">
        <w:rPr>
          <w:rFonts w:eastAsia="MS Mincho"/>
          <w:sz w:val="20"/>
          <w:szCs w:val="20"/>
          <w:lang w:eastAsia="ja-JP"/>
        </w:rPr>
        <w:t>i</w:t>
      </w:r>
      <w:r w:rsidRPr="00346AF1">
        <w:rPr>
          <w:rFonts w:eastAsia="MS Mincho"/>
          <w:sz w:val="20"/>
          <w:szCs w:val="20"/>
          <w:lang w:eastAsia="ja-JP"/>
        </w:rPr>
        <w:t xml:space="preserve">nvestment </w:t>
      </w:r>
      <w:r w:rsidR="00A11FB6">
        <w:rPr>
          <w:rFonts w:eastAsia="MS Mincho"/>
          <w:sz w:val="20"/>
          <w:szCs w:val="20"/>
          <w:lang w:eastAsia="ja-JP"/>
        </w:rPr>
        <w:t>m</w:t>
      </w:r>
      <w:r w:rsidRPr="00346AF1">
        <w:rPr>
          <w:rFonts w:eastAsia="MS Mincho"/>
          <w:sz w:val="20"/>
          <w:szCs w:val="20"/>
          <w:lang w:eastAsia="ja-JP"/>
        </w:rPr>
        <w:t>anager</w:t>
      </w:r>
      <w:r w:rsidR="00A11FB6">
        <w:rPr>
          <w:rFonts w:eastAsia="MS Mincho"/>
          <w:sz w:val="20"/>
          <w:szCs w:val="20"/>
          <w:lang w:eastAsia="ja-JP"/>
        </w:rPr>
        <w:t>s</w:t>
      </w:r>
      <w:r w:rsidRPr="00346AF1">
        <w:rPr>
          <w:rFonts w:eastAsia="MS Mincho"/>
          <w:sz w:val="20"/>
          <w:szCs w:val="20"/>
          <w:lang w:eastAsia="ja-JP"/>
        </w:rPr>
        <w:t xml:space="preserve">. </w:t>
      </w:r>
    </w:p>
    <w:p w:rsidR="00734DEE" w:rsidRPr="00346AF1" w:rsidRDefault="00734DEE" w:rsidP="00734DEE">
      <w:pPr>
        <w:pStyle w:val="ListParagraph"/>
        <w:spacing w:line="300" w:lineRule="exact"/>
        <w:ind w:left="0"/>
        <w:jc w:val="both"/>
        <w:rPr>
          <w:rFonts w:eastAsia="MS Mincho"/>
          <w:sz w:val="20"/>
          <w:szCs w:val="20"/>
          <w:lang w:eastAsia="ja-JP"/>
        </w:rPr>
      </w:pPr>
    </w:p>
    <w:p w:rsidR="00734DEE" w:rsidRPr="00346AF1" w:rsidRDefault="00734DEE" w:rsidP="00734DEE">
      <w:pPr>
        <w:pStyle w:val="ListParagraph"/>
        <w:spacing w:line="300" w:lineRule="exact"/>
        <w:ind w:left="0"/>
        <w:jc w:val="both"/>
        <w:rPr>
          <w:rFonts w:eastAsia="MS Mincho"/>
          <w:sz w:val="20"/>
          <w:szCs w:val="20"/>
          <w:lang w:eastAsia="ja-JP"/>
        </w:rPr>
      </w:pPr>
      <w:r w:rsidRPr="00346AF1">
        <w:rPr>
          <w:rFonts w:eastAsia="MS Mincho"/>
          <w:sz w:val="20"/>
          <w:szCs w:val="20"/>
          <w:lang w:eastAsia="ja-JP"/>
        </w:rPr>
        <w:t xml:space="preserve">The Trustees believe that in order to protect and enhance the value of the investments, over the time horizon over which the benefits are paid, </w:t>
      </w:r>
      <w:r w:rsidR="00610D08" w:rsidRPr="00346AF1">
        <w:rPr>
          <w:rFonts w:eastAsia="MS Mincho"/>
          <w:sz w:val="20"/>
          <w:szCs w:val="20"/>
          <w:lang w:eastAsia="ja-JP"/>
        </w:rPr>
        <w:t>they</w:t>
      </w:r>
      <w:r w:rsidRPr="00346AF1">
        <w:rPr>
          <w:rFonts w:eastAsia="MS Mincho"/>
          <w:sz w:val="20"/>
          <w:szCs w:val="20"/>
          <w:lang w:eastAsia="ja-JP"/>
        </w:rPr>
        <w:t xml:space="preserve"> must act as a responsible asset owner. The Trustees expect </w:t>
      </w:r>
      <w:r w:rsidR="00CB2AA7" w:rsidRPr="00346AF1">
        <w:rPr>
          <w:rFonts w:eastAsia="MS Mincho"/>
          <w:sz w:val="20"/>
          <w:szCs w:val="20"/>
          <w:lang w:eastAsia="ja-JP"/>
        </w:rPr>
        <w:t>their</w:t>
      </w:r>
      <w:r w:rsidRPr="00346AF1">
        <w:rPr>
          <w:rFonts w:eastAsia="MS Mincho"/>
          <w:sz w:val="20"/>
          <w:szCs w:val="20"/>
          <w:lang w:eastAsia="ja-JP"/>
        </w:rPr>
        <w:t xml:space="preserve"> </w:t>
      </w:r>
      <w:r w:rsidR="00A11FB6">
        <w:rPr>
          <w:rFonts w:eastAsia="MS Mincho"/>
          <w:sz w:val="20"/>
          <w:szCs w:val="20"/>
          <w:lang w:eastAsia="ja-JP"/>
        </w:rPr>
        <w:t>i</w:t>
      </w:r>
      <w:r w:rsidRPr="00346AF1">
        <w:rPr>
          <w:rFonts w:eastAsia="MS Mincho"/>
          <w:sz w:val="20"/>
          <w:szCs w:val="20"/>
          <w:lang w:eastAsia="ja-JP"/>
        </w:rPr>
        <w:t xml:space="preserve">nvestment </w:t>
      </w:r>
      <w:r w:rsidR="00A11FB6">
        <w:rPr>
          <w:rFonts w:eastAsia="MS Mincho"/>
          <w:sz w:val="20"/>
          <w:szCs w:val="20"/>
          <w:lang w:eastAsia="ja-JP"/>
        </w:rPr>
        <w:t>m</w:t>
      </w:r>
      <w:r w:rsidRPr="00346AF1">
        <w:rPr>
          <w:rFonts w:eastAsia="MS Mincho"/>
          <w:sz w:val="20"/>
          <w:szCs w:val="20"/>
          <w:lang w:eastAsia="ja-JP"/>
        </w:rPr>
        <w:t>anager</w:t>
      </w:r>
      <w:r w:rsidR="00A11FB6">
        <w:rPr>
          <w:rFonts w:eastAsia="MS Mincho"/>
          <w:sz w:val="20"/>
          <w:szCs w:val="20"/>
          <w:lang w:eastAsia="ja-JP"/>
        </w:rPr>
        <w:t>s</w:t>
      </w:r>
      <w:r w:rsidRPr="00346AF1">
        <w:rPr>
          <w:rFonts w:eastAsia="MS Mincho"/>
          <w:sz w:val="20"/>
          <w:szCs w:val="20"/>
          <w:lang w:eastAsia="ja-JP"/>
        </w:rPr>
        <w:t xml:space="preserve"> to exercise </w:t>
      </w:r>
      <w:r w:rsidR="00CB2AA7" w:rsidRPr="00346AF1">
        <w:rPr>
          <w:rFonts w:eastAsia="MS Mincho"/>
          <w:sz w:val="20"/>
          <w:szCs w:val="20"/>
          <w:lang w:eastAsia="ja-JP"/>
        </w:rPr>
        <w:t>their</w:t>
      </w:r>
      <w:r w:rsidRPr="00346AF1">
        <w:rPr>
          <w:rFonts w:eastAsia="MS Mincho"/>
          <w:sz w:val="20"/>
          <w:szCs w:val="20"/>
          <w:lang w:eastAsia="ja-JP"/>
        </w:rPr>
        <w:t xml:space="preserve"> ownership rights, including voting and engagement rights, in order to safeguard sustainable returns over this time frame. On an ongoing basis the Trustees </w:t>
      </w:r>
      <w:r w:rsidR="002A1407" w:rsidRPr="002A1407">
        <w:rPr>
          <w:rFonts w:eastAsia="MS Mincho"/>
          <w:sz w:val="20"/>
          <w:szCs w:val="20"/>
          <w:lang w:eastAsia="ja-JP"/>
        </w:rPr>
        <w:t xml:space="preserve">(delegating to the Investment Consultant where appropriate) </w:t>
      </w:r>
      <w:r w:rsidRPr="00346AF1">
        <w:rPr>
          <w:rFonts w:eastAsia="MS Mincho"/>
          <w:sz w:val="20"/>
          <w:szCs w:val="20"/>
          <w:lang w:eastAsia="ja-JP"/>
        </w:rPr>
        <w:t xml:space="preserve">assess the stewardship and engagement activity of </w:t>
      </w:r>
      <w:r w:rsidR="00CB2AA7" w:rsidRPr="00346AF1">
        <w:rPr>
          <w:rFonts w:eastAsia="MS Mincho"/>
          <w:sz w:val="20"/>
          <w:szCs w:val="20"/>
          <w:lang w:eastAsia="ja-JP"/>
        </w:rPr>
        <w:t>their</w:t>
      </w:r>
      <w:r w:rsidR="00A11FB6">
        <w:rPr>
          <w:rFonts w:eastAsia="MS Mincho"/>
          <w:sz w:val="20"/>
          <w:szCs w:val="20"/>
          <w:lang w:eastAsia="ja-JP"/>
        </w:rPr>
        <w:t xml:space="preserve"> i</w:t>
      </w:r>
      <w:r w:rsidRPr="00346AF1">
        <w:rPr>
          <w:rFonts w:eastAsia="MS Mincho"/>
          <w:sz w:val="20"/>
          <w:szCs w:val="20"/>
          <w:lang w:eastAsia="ja-JP"/>
        </w:rPr>
        <w:t xml:space="preserve">nvestment </w:t>
      </w:r>
      <w:r w:rsidR="00A11FB6">
        <w:rPr>
          <w:rFonts w:eastAsia="MS Mincho"/>
          <w:sz w:val="20"/>
          <w:szCs w:val="20"/>
          <w:lang w:eastAsia="ja-JP"/>
        </w:rPr>
        <w:t>m</w:t>
      </w:r>
      <w:r w:rsidR="001763EA">
        <w:rPr>
          <w:rFonts w:eastAsia="MS Mincho"/>
          <w:sz w:val="20"/>
          <w:szCs w:val="20"/>
          <w:lang w:eastAsia="ja-JP"/>
        </w:rPr>
        <w:t>anager</w:t>
      </w:r>
      <w:r w:rsidR="00A11FB6">
        <w:rPr>
          <w:rFonts w:eastAsia="MS Mincho"/>
          <w:sz w:val="20"/>
          <w:szCs w:val="20"/>
          <w:lang w:eastAsia="ja-JP"/>
        </w:rPr>
        <w:t>s</w:t>
      </w:r>
      <w:r w:rsidRPr="00346AF1">
        <w:rPr>
          <w:rFonts w:eastAsia="MS Mincho"/>
          <w:sz w:val="20"/>
          <w:szCs w:val="20"/>
          <w:lang w:eastAsia="ja-JP"/>
        </w:rPr>
        <w:t>.</w:t>
      </w:r>
    </w:p>
    <w:p w:rsidR="00734DEE" w:rsidRPr="00346AF1" w:rsidRDefault="00734DEE" w:rsidP="00734DEE">
      <w:pPr>
        <w:pStyle w:val="ListParagraph"/>
        <w:spacing w:line="300" w:lineRule="exact"/>
        <w:ind w:left="0"/>
        <w:jc w:val="both"/>
        <w:rPr>
          <w:rFonts w:eastAsia="MS Mincho"/>
          <w:sz w:val="20"/>
          <w:szCs w:val="20"/>
          <w:lang w:eastAsia="ja-JP"/>
        </w:rPr>
      </w:pPr>
    </w:p>
    <w:p w:rsidR="005C48ED" w:rsidRDefault="00734DEE" w:rsidP="00734DEE">
      <w:pPr>
        <w:spacing w:line="300" w:lineRule="exact"/>
        <w:jc w:val="both"/>
        <w:rPr>
          <w:rFonts w:cs="Arial"/>
          <w:sz w:val="20"/>
          <w:szCs w:val="20"/>
        </w:rPr>
      </w:pPr>
      <w:r w:rsidRPr="00346AF1">
        <w:rPr>
          <w:rFonts w:cs="Arial"/>
          <w:sz w:val="20"/>
          <w:szCs w:val="20"/>
        </w:rPr>
        <w:t xml:space="preserve">Where ESG factors are non-financial (i.e. they do not pose a risk to the prospect of the financial success of the investment) the Trustees believe these should not drive investment decisions. The Trustees expect </w:t>
      </w:r>
      <w:r w:rsidR="00CB2AA7" w:rsidRPr="00346AF1">
        <w:rPr>
          <w:rFonts w:cs="Arial"/>
          <w:sz w:val="20"/>
          <w:szCs w:val="20"/>
        </w:rPr>
        <w:t>their</w:t>
      </w:r>
      <w:r w:rsidRPr="00346AF1">
        <w:rPr>
          <w:rFonts w:cs="Arial"/>
          <w:sz w:val="20"/>
          <w:szCs w:val="20"/>
        </w:rPr>
        <w:t xml:space="preserve"> </w:t>
      </w:r>
      <w:r w:rsidR="00A11FB6">
        <w:rPr>
          <w:rFonts w:cs="Arial"/>
          <w:sz w:val="20"/>
          <w:szCs w:val="20"/>
        </w:rPr>
        <w:t>i</w:t>
      </w:r>
      <w:r w:rsidR="001763EA">
        <w:rPr>
          <w:rFonts w:cs="Arial"/>
          <w:sz w:val="20"/>
          <w:szCs w:val="20"/>
        </w:rPr>
        <w:t>nvestm</w:t>
      </w:r>
      <w:r w:rsidR="00A11FB6">
        <w:rPr>
          <w:rFonts w:cs="Arial"/>
          <w:sz w:val="20"/>
          <w:szCs w:val="20"/>
        </w:rPr>
        <w:t>ent m</w:t>
      </w:r>
      <w:r w:rsidRPr="00346AF1">
        <w:rPr>
          <w:rFonts w:cs="Arial"/>
          <w:sz w:val="20"/>
          <w:szCs w:val="20"/>
        </w:rPr>
        <w:t>anager</w:t>
      </w:r>
      <w:r w:rsidR="00A11FB6">
        <w:rPr>
          <w:rFonts w:cs="Arial"/>
          <w:sz w:val="20"/>
          <w:szCs w:val="20"/>
        </w:rPr>
        <w:t>s</w:t>
      </w:r>
      <w:r w:rsidRPr="00346AF1">
        <w:rPr>
          <w:rFonts w:cs="Arial"/>
          <w:sz w:val="20"/>
          <w:szCs w:val="20"/>
        </w:rPr>
        <w:t>, when exercising discretion in investment decision making, to consider non-financial factors only when all other financial factors have been considered and in such a circumstance the consideration of non-financial factors should not lead to a reduction in the efficiency of the investment.  Members’ views are not sought on non-financial matters (including ESG and ethical views) in relation to the selection, retention and realisation of investments.</w:t>
      </w:r>
    </w:p>
    <w:p w:rsidR="00C54494" w:rsidRDefault="00C54494" w:rsidP="00734DEE">
      <w:pPr>
        <w:spacing w:line="300" w:lineRule="exact"/>
        <w:jc w:val="both"/>
        <w:rPr>
          <w:rFonts w:cs="Arial"/>
          <w:sz w:val="20"/>
          <w:szCs w:val="20"/>
        </w:rPr>
      </w:pPr>
    </w:p>
    <w:p w:rsidR="00C54494" w:rsidRPr="00C54494" w:rsidRDefault="00C54494" w:rsidP="00C54494">
      <w:pPr>
        <w:spacing w:line="300" w:lineRule="exact"/>
        <w:jc w:val="both"/>
        <w:rPr>
          <w:rFonts w:cs="Arial"/>
          <w:sz w:val="20"/>
          <w:szCs w:val="22"/>
        </w:rPr>
      </w:pPr>
      <w:r w:rsidRPr="00C54494">
        <w:rPr>
          <w:rFonts w:cs="Arial"/>
          <w:sz w:val="20"/>
          <w:szCs w:val="22"/>
          <w:highlight w:val="yellow"/>
        </w:rPr>
        <w:t>Responsibility for monitoring the makeup and development of the capital structure of investee companies is delegated to the Investment Managers. The Trustees expect the extent to which the Investment Managers monitor capital structure to be appropriate to the nature of the mandate.</w:t>
      </w:r>
    </w:p>
    <w:p w:rsidR="00C54494" w:rsidRPr="00C54494" w:rsidRDefault="00C54494" w:rsidP="00C54494">
      <w:pPr>
        <w:spacing w:line="300" w:lineRule="exact"/>
        <w:jc w:val="both"/>
        <w:rPr>
          <w:rFonts w:cs="Arial"/>
          <w:sz w:val="20"/>
          <w:szCs w:val="20"/>
        </w:rPr>
      </w:pPr>
    </w:p>
    <w:p w:rsidR="00C54494" w:rsidRPr="00C54494" w:rsidRDefault="00C54494" w:rsidP="00C54494">
      <w:pPr>
        <w:numPr>
          <w:ilvl w:val="0"/>
          <w:numId w:val="1"/>
        </w:numPr>
        <w:spacing w:line="260" w:lineRule="atLeast"/>
        <w:ind w:left="567" w:hanging="567"/>
        <w:contextualSpacing/>
        <w:jc w:val="both"/>
        <w:rPr>
          <w:rFonts w:eastAsia="Calibri" w:cs="Arial"/>
          <w:color w:val="424FB3"/>
          <w:sz w:val="28"/>
          <w:szCs w:val="28"/>
          <w:highlight w:val="yellow"/>
          <w:lang w:eastAsia="en-GB"/>
        </w:rPr>
      </w:pPr>
      <w:r w:rsidRPr="00C54494">
        <w:rPr>
          <w:rFonts w:eastAsia="Calibri" w:cs="Arial"/>
          <w:color w:val="424FB3"/>
          <w:sz w:val="28"/>
          <w:szCs w:val="28"/>
          <w:highlight w:val="yellow"/>
          <w:lang w:eastAsia="en-GB"/>
        </w:rPr>
        <w:t>Conflicts of Interest</w:t>
      </w:r>
    </w:p>
    <w:p w:rsidR="00C54494" w:rsidRPr="00C54494" w:rsidRDefault="00C54494" w:rsidP="00C54494">
      <w:pPr>
        <w:spacing w:line="260" w:lineRule="atLeast"/>
        <w:ind w:left="567"/>
        <w:contextualSpacing/>
        <w:jc w:val="both"/>
        <w:rPr>
          <w:color w:val="424FB3"/>
          <w:sz w:val="28"/>
          <w:szCs w:val="28"/>
          <w:highlight w:val="yellow"/>
        </w:rPr>
      </w:pPr>
    </w:p>
    <w:p w:rsidR="00C54494" w:rsidRPr="00C54494" w:rsidRDefault="00C54494" w:rsidP="00C54494">
      <w:pPr>
        <w:spacing w:line="260" w:lineRule="atLeast"/>
        <w:contextualSpacing/>
        <w:jc w:val="both"/>
        <w:rPr>
          <w:rFonts w:cs="Arial"/>
          <w:sz w:val="20"/>
          <w:szCs w:val="22"/>
          <w:highlight w:val="yellow"/>
        </w:rPr>
      </w:pPr>
      <w:r w:rsidRPr="00C54494">
        <w:rPr>
          <w:rFonts w:cs="Arial"/>
          <w:sz w:val="20"/>
          <w:szCs w:val="22"/>
          <w:highlight w:val="yellow"/>
        </w:rPr>
        <w:t xml:space="preserve">The Trustees maintain a separate conflicts of interest policy and register.  </w:t>
      </w:r>
    </w:p>
    <w:p w:rsidR="00C54494" w:rsidRPr="00C54494" w:rsidRDefault="00C54494" w:rsidP="00C54494">
      <w:pPr>
        <w:spacing w:line="260" w:lineRule="atLeast"/>
        <w:contextualSpacing/>
        <w:jc w:val="both"/>
        <w:rPr>
          <w:rFonts w:cs="Arial"/>
          <w:sz w:val="20"/>
          <w:szCs w:val="22"/>
          <w:highlight w:val="yellow"/>
        </w:rPr>
      </w:pPr>
    </w:p>
    <w:p w:rsidR="00C54494" w:rsidRPr="00C54494" w:rsidRDefault="00C54494" w:rsidP="00C54494">
      <w:pPr>
        <w:spacing w:line="300" w:lineRule="exact"/>
        <w:jc w:val="both"/>
        <w:rPr>
          <w:rFonts w:cs="Arial"/>
          <w:sz w:val="20"/>
          <w:szCs w:val="22"/>
          <w:highlight w:val="yellow"/>
        </w:rPr>
      </w:pPr>
      <w:r w:rsidRPr="00C54494">
        <w:rPr>
          <w:rFonts w:cs="Arial"/>
          <w:sz w:val="20"/>
          <w:szCs w:val="22"/>
          <w:highlight w:val="yellow"/>
        </w:rPr>
        <w:t>Subject to reasonable levels of materiality, these documents record any actual or potential conflicts of interest in relation to investee companies or the Investment Managers, while also setting out a process for their management.</w:t>
      </w:r>
    </w:p>
    <w:p w:rsidR="00C54494" w:rsidRPr="00C54494" w:rsidRDefault="00C54494" w:rsidP="00C54494">
      <w:pPr>
        <w:spacing w:line="260" w:lineRule="atLeast"/>
        <w:contextualSpacing/>
        <w:jc w:val="both"/>
        <w:rPr>
          <w:color w:val="424FB3"/>
          <w:sz w:val="28"/>
          <w:szCs w:val="28"/>
          <w:highlight w:val="yellow"/>
        </w:rPr>
      </w:pPr>
    </w:p>
    <w:p w:rsidR="00C54494" w:rsidRPr="00C54494" w:rsidRDefault="00C54494" w:rsidP="00C54494">
      <w:pPr>
        <w:numPr>
          <w:ilvl w:val="0"/>
          <w:numId w:val="1"/>
        </w:numPr>
        <w:spacing w:line="260" w:lineRule="atLeast"/>
        <w:ind w:left="567" w:hanging="567"/>
        <w:contextualSpacing/>
        <w:jc w:val="both"/>
        <w:rPr>
          <w:rFonts w:eastAsia="Calibri" w:cs="Arial"/>
          <w:color w:val="424FB3"/>
          <w:sz w:val="28"/>
          <w:szCs w:val="28"/>
          <w:highlight w:val="yellow"/>
          <w:lang w:eastAsia="en-GB"/>
        </w:rPr>
      </w:pPr>
      <w:r w:rsidRPr="00C54494">
        <w:rPr>
          <w:rFonts w:eastAsia="Calibri" w:cs="Arial"/>
          <w:color w:val="424FB3"/>
          <w:sz w:val="28"/>
          <w:szCs w:val="28"/>
          <w:highlight w:val="yellow"/>
          <w:lang w:eastAsia="en-GB"/>
        </w:rPr>
        <w:t>Incentivisation of Investment Managers</w:t>
      </w:r>
    </w:p>
    <w:p w:rsidR="00C54494" w:rsidRPr="00C54494" w:rsidRDefault="00C54494" w:rsidP="00C54494">
      <w:pPr>
        <w:spacing w:line="300" w:lineRule="exact"/>
        <w:jc w:val="both"/>
        <w:rPr>
          <w:rFonts w:cs="Arial"/>
          <w:sz w:val="20"/>
          <w:szCs w:val="20"/>
          <w:highlight w:val="yellow"/>
        </w:rPr>
      </w:pPr>
    </w:p>
    <w:p w:rsidR="00C54494" w:rsidRPr="00C54494" w:rsidRDefault="00C54494" w:rsidP="00C54494">
      <w:pPr>
        <w:spacing w:line="300" w:lineRule="exact"/>
        <w:jc w:val="both"/>
        <w:rPr>
          <w:rFonts w:cs="Arial"/>
          <w:sz w:val="20"/>
          <w:szCs w:val="20"/>
          <w:highlight w:val="yellow"/>
        </w:rPr>
      </w:pPr>
      <w:r w:rsidRPr="00C54494">
        <w:rPr>
          <w:rFonts w:cs="Arial"/>
          <w:sz w:val="20"/>
          <w:szCs w:val="20"/>
          <w:highlight w:val="yellow"/>
        </w:rPr>
        <w:t>The Investment Managers are primarily remunerated based on an agreed fixed annual percentage of the asset value for each underlying fund.</w:t>
      </w:r>
    </w:p>
    <w:p w:rsidR="00C54494" w:rsidRPr="00C54494" w:rsidRDefault="00C54494" w:rsidP="00C54494">
      <w:pPr>
        <w:spacing w:line="300" w:lineRule="exact"/>
        <w:jc w:val="both"/>
        <w:rPr>
          <w:rFonts w:cs="Arial"/>
          <w:sz w:val="20"/>
          <w:szCs w:val="20"/>
          <w:highlight w:val="yellow"/>
        </w:rPr>
      </w:pPr>
    </w:p>
    <w:p w:rsidR="00C54494" w:rsidRPr="00C54494" w:rsidRDefault="00C54494" w:rsidP="00C54494">
      <w:pPr>
        <w:spacing w:line="300" w:lineRule="exact"/>
        <w:jc w:val="both"/>
        <w:rPr>
          <w:rFonts w:cs="Arial"/>
          <w:sz w:val="20"/>
          <w:szCs w:val="20"/>
          <w:highlight w:val="yellow"/>
        </w:rPr>
      </w:pPr>
      <w:r w:rsidRPr="00C54494">
        <w:rPr>
          <w:rFonts w:cs="Arial"/>
          <w:sz w:val="20"/>
          <w:szCs w:val="20"/>
          <w:highlight w:val="yellow"/>
        </w:rPr>
        <w:t>The Trustees do not directly incentivise the Investment Managers to align the approach they adopt for a particular fund with the Trustees’ policies and objectives.  Instead, the Investment Managers and the funds are selected so that, in aggregate, the returns produced are expected to meet the Trustees’ objectives.</w:t>
      </w:r>
    </w:p>
    <w:p w:rsidR="00C54494" w:rsidRPr="00C54494" w:rsidRDefault="00C54494" w:rsidP="00C54494">
      <w:pPr>
        <w:spacing w:line="300" w:lineRule="exact"/>
        <w:jc w:val="both"/>
        <w:rPr>
          <w:rFonts w:cs="Arial"/>
          <w:sz w:val="20"/>
          <w:szCs w:val="20"/>
          <w:highlight w:val="yellow"/>
        </w:rPr>
      </w:pPr>
    </w:p>
    <w:p w:rsidR="00C54494" w:rsidRPr="00C54494" w:rsidRDefault="00C54494" w:rsidP="00C54494">
      <w:pPr>
        <w:spacing w:line="300" w:lineRule="exact"/>
        <w:jc w:val="both"/>
        <w:rPr>
          <w:rFonts w:cs="Arial"/>
          <w:sz w:val="20"/>
          <w:szCs w:val="20"/>
        </w:rPr>
      </w:pPr>
      <w:r w:rsidRPr="00C54494">
        <w:rPr>
          <w:rFonts w:cs="Arial"/>
          <w:sz w:val="20"/>
          <w:szCs w:val="20"/>
          <w:highlight w:val="yellow"/>
        </w:rPr>
        <w:t xml:space="preserve">Neither do the Trustees directly incentivise the Investment Managers to make decisions about the medium to long-term performance of an issuer of debt or equity, or to engage with those issues to improve their performance.   The Trustees expect such assessment of performance and engagement </w:t>
      </w:r>
      <w:r w:rsidRPr="00C54494">
        <w:rPr>
          <w:rFonts w:cs="Arial"/>
          <w:sz w:val="20"/>
          <w:szCs w:val="20"/>
          <w:highlight w:val="yellow"/>
        </w:rPr>
        <w:lastRenderedPageBreak/>
        <w:t>to be undertaken as appropriate and necessary to meet the investment objectives of the funds used by the Fund.</w:t>
      </w:r>
    </w:p>
    <w:p w:rsidR="00101651" w:rsidRPr="00101651" w:rsidRDefault="00101651" w:rsidP="00734DEE">
      <w:pPr>
        <w:spacing w:line="300" w:lineRule="exact"/>
        <w:jc w:val="both"/>
        <w:rPr>
          <w:rFonts w:cs="Arial"/>
          <w:color w:val="424FB3"/>
          <w:sz w:val="20"/>
          <w:szCs w:val="20"/>
        </w:rPr>
      </w:pPr>
    </w:p>
    <w:p w:rsidR="00634CB2" w:rsidRPr="00101651" w:rsidRDefault="00634CB2" w:rsidP="00074143">
      <w:pPr>
        <w:pStyle w:val="ListParagraph"/>
        <w:numPr>
          <w:ilvl w:val="0"/>
          <w:numId w:val="1"/>
        </w:numPr>
        <w:spacing w:line="260" w:lineRule="atLeast"/>
        <w:ind w:left="567" w:hanging="567"/>
        <w:contextualSpacing/>
        <w:rPr>
          <w:color w:val="424FB3"/>
          <w:sz w:val="28"/>
          <w:szCs w:val="28"/>
        </w:rPr>
      </w:pPr>
      <w:r w:rsidRPr="00101651">
        <w:rPr>
          <w:color w:val="424FB3"/>
          <w:sz w:val="28"/>
          <w:szCs w:val="28"/>
        </w:rPr>
        <w:t>Employer Related Investments</w:t>
      </w:r>
    </w:p>
    <w:p w:rsidR="005C48ED" w:rsidRPr="003F649B" w:rsidRDefault="005C48ED" w:rsidP="005C48ED">
      <w:pPr>
        <w:pStyle w:val="ListParagraph"/>
        <w:spacing w:line="300" w:lineRule="exact"/>
        <w:ind w:left="0"/>
        <w:rPr>
          <w:rFonts w:ascii="Gotham Book" w:hAnsi="Gotham Book" w:cs="Calibri"/>
          <w:sz w:val="20"/>
          <w:szCs w:val="20"/>
        </w:rPr>
      </w:pPr>
    </w:p>
    <w:p w:rsidR="005C48ED" w:rsidRPr="00101651" w:rsidRDefault="006D07BE" w:rsidP="005C48ED">
      <w:pPr>
        <w:pStyle w:val="ListParagraph"/>
        <w:spacing w:line="300" w:lineRule="exact"/>
        <w:ind w:left="0"/>
        <w:jc w:val="both"/>
        <w:rPr>
          <w:sz w:val="20"/>
          <w:szCs w:val="20"/>
        </w:rPr>
      </w:pPr>
      <w:r>
        <w:rPr>
          <w:sz w:val="20"/>
          <w:szCs w:val="20"/>
        </w:rPr>
        <w:t>T</w:t>
      </w:r>
      <w:r w:rsidR="005C48ED" w:rsidRPr="00346AF1">
        <w:rPr>
          <w:sz w:val="20"/>
          <w:szCs w:val="20"/>
        </w:rPr>
        <w:t>he</w:t>
      </w:r>
      <w:r w:rsidR="005C48ED" w:rsidRPr="00101651">
        <w:rPr>
          <w:sz w:val="20"/>
          <w:szCs w:val="20"/>
        </w:rPr>
        <w:t xml:space="preserve"> </w:t>
      </w:r>
      <w:r w:rsidR="00C0490C" w:rsidRPr="00C0490C">
        <w:rPr>
          <w:sz w:val="20"/>
          <w:szCs w:val="20"/>
        </w:rPr>
        <w:t>Trustees’</w:t>
      </w:r>
      <w:r w:rsidR="005C48ED" w:rsidRPr="00101651">
        <w:rPr>
          <w:sz w:val="20"/>
          <w:szCs w:val="20"/>
        </w:rPr>
        <w:t xml:space="preserve"> policy is not to hold any employer-related investments as defined in the Pensions Act 1995, the Pensions Act 2004 and the Occupational Pension </w:t>
      </w:r>
      <w:r w:rsidR="00074143">
        <w:rPr>
          <w:sz w:val="20"/>
          <w:szCs w:val="20"/>
        </w:rPr>
        <w:t>Scheme</w:t>
      </w:r>
      <w:r w:rsidR="005C48ED" w:rsidRPr="00101651">
        <w:rPr>
          <w:sz w:val="20"/>
          <w:szCs w:val="20"/>
        </w:rPr>
        <w:t xml:space="preserve"> (Investment) Regulations 2005.</w:t>
      </w:r>
    </w:p>
    <w:p w:rsidR="006951CB" w:rsidRDefault="006951CB" w:rsidP="005C48ED">
      <w:pPr>
        <w:pStyle w:val="ListParagraph"/>
        <w:spacing w:line="300" w:lineRule="exact"/>
        <w:ind w:left="0"/>
        <w:rPr>
          <w:rFonts w:ascii="Gotham Book" w:hAnsi="Gotham Book" w:cs="Calibri"/>
          <w:sz w:val="20"/>
          <w:szCs w:val="20"/>
        </w:rPr>
      </w:pPr>
    </w:p>
    <w:p w:rsidR="00634CB2" w:rsidRPr="00101651" w:rsidRDefault="00634CB2" w:rsidP="00074143">
      <w:pPr>
        <w:pStyle w:val="ListParagraph"/>
        <w:numPr>
          <w:ilvl w:val="0"/>
          <w:numId w:val="1"/>
        </w:numPr>
        <w:spacing w:line="260" w:lineRule="atLeast"/>
        <w:ind w:left="0" w:firstLine="0"/>
        <w:contextualSpacing/>
        <w:rPr>
          <w:color w:val="424FB3"/>
          <w:sz w:val="28"/>
          <w:szCs w:val="28"/>
        </w:rPr>
      </w:pPr>
      <w:r w:rsidRPr="00101651">
        <w:rPr>
          <w:color w:val="424FB3"/>
          <w:sz w:val="28"/>
          <w:szCs w:val="28"/>
        </w:rPr>
        <w:t>Risks</w:t>
      </w:r>
    </w:p>
    <w:p w:rsidR="005C48ED" w:rsidRPr="003F649B" w:rsidRDefault="005C48ED" w:rsidP="003F649B">
      <w:pPr>
        <w:spacing w:line="300" w:lineRule="exact"/>
        <w:rPr>
          <w:rFonts w:ascii="Gotham Book" w:hAnsi="Gotham Book" w:cs="Calibri"/>
          <w:sz w:val="20"/>
          <w:szCs w:val="20"/>
        </w:rPr>
      </w:pPr>
    </w:p>
    <w:p w:rsidR="005C48ED" w:rsidRPr="00101651" w:rsidRDefault="005C48ED" w:rsidP="003F649B">
      <w:pPr>
        <w:spacing w:line="300" w:lineRule="exact"/>
        <w:jc w:val="both"/>
        <w:rPr>
          <w:rFonts w:cs="Arial"/>
          <w:sz w:val="20"/>
          <w:szCs w:val="20"/>
        </w:rPr>
      </w:pPr>
      <w:r w:rsidRPr="00101651">
        <w:rPr>
          <w:rFonts w:cs="Arial"/>
          <w:sz w:val="20"/>
          <w:szCs w:val="20"/>
        </w:rPr>
        <w:t xml:space="preserve">The </w:t>
      </w:r>
      <w:r w:rsidR="00C0490C" w:rsidRPr="00C0490C">
        <w:rPr>
          <w:rFonts w:cs="Arial"/>
          <w:sz w:val="20"/>
          <w:szCs w:val="20"/>
        </w:rPr>
        <w:t>Trustees</w:t>
      </w:r>
      <w:r w:rsidRPr="00101651">
        <w:rPr>
          <w:rFonts w:cs="Arial"/>
          <w:sz w:val="20"/>
          <w:szCs w:val="20"/>
        </w:rPr>
        <w:t xml:space="preserve"> recognise that a number of risks are involved in the investment of the assets of the </w:t>
      </w:r>
      <w:r w:rsidR="00074143">
        <w:rPr>
          <w:rFonts w:cs="Arial"/>
          <w:sz w:val="20"/>
          <w:szCs w:val="20"/>
        </w:rPr>
        <w:t>Scheme</w:t>
      </w:r>
      <w:r w:rsidRPr="00101651">
        <w:rPr>
          <w:rFonts w:cs="Arial"/>
          <w:sz w:val="20"/>
          <w:szCs w:val="20"/>
        </w:rPr>
        <w:t xml:space="preserve">.  </w:t>
      </w:r>
      <w:r w:rsidR="00CB2AA7">
        <w:rPr>
          <w:rFonts w:cs="Arial"/>
          <w:sz w:val="20"/>
          <w:szCs w:val="20"/>
        </w:rPr>
        <w:t>They have</w:t>
      </w:r>
      <w:r w:rsidRPr="00101651">
        <w:rPr>
          <w:rFonts w:cs="Arial"/>
          <w:sz w:val="20"/>
          <w:szCs w:val="20"/>
        </w:rPr>
        <w:t xml:space="preserve"> identified the following principle risks which have the potential to cause deterioration in the </w:t>
      </w:r>
      <w:r w:rsidR="00074143">
        <w:rPr>
          <w:rFonts w:cs="Arial"/>
          <w:sz w:val="20"/>
          <w:szCs w:val="20"/>
        </w:rPr>
        <w:t>Scheme</w:t>
      </w:r>
      <w:r w:rsidRPr="00101651">
        <w:rPr>
          <w:rFonts w:cs="Arial"/>
          <w:sz w:val="20"/>
          <w:szCs w:val="20"/>
        </w:rPr>
        <w:t>’s funding level:</w:t>
      </w:r>
    </w:p>
    <w:p w:rsidR="005C48ED" w:rsidRPr="003F649B" w:rsidRDefault="005C48ED" w:rsidP="003F649B">
      <w:pPr>
        <w:spacing w:line="300" w:lineRule="exact"/>
        <w:rPr>
          <w:rFonts w:ascii="Gotham Book" w:hAnsi="Gotham Book" w:cs="Calibri"/>
          <w:sz w:val="20"/>
          <w:szCs w:val="20"/>
        </w:rPr>
      </w:pPr>
    </w:p>
    <w:p w:rsidR="005C48ED" w:rsidRPr="00101651" w:rsidRDefault="005C48ED" w:rsidP="00074143">
      <w:pPr>
        <w:pStyle w:val="ListParagraph"/>
        <w:numPr>
          <w:ilvl w:val="0"/>
          <w:numId w:val="3"/>
        </w:numPr>
        <w:spacing w:line="260" w:lineRule="atLeast"/>
        <w:ind w:left="567" w:hanging="567"/>
        <w:contextualSpacing/>
        <w:jc w:val="both"/>
        <w:rPr>
          <w:sz w:val="20"/>
          <w:szCs w:val="20"/>
        </w:rPr>
      </w:pPr>
      <w:r w:rsidRPr="00101651">
        <w:rPr>
          <w:color w:val="424FB3"/>
          <w:sz w:val="20"/>
          <w:szCs w:val="20"/>
        </w:rPr>
        <w:t>Solvency risk:</w:t>
      </w:r>
      <w:r w:rsidR="003F649B" w:rsidRPr="00101651">
        <w:rPr>
          <w:color w:val="424FB3"/>
          <w:sz w:val="20"/>
          <w:szCs w:val="20"/>
        </w:rPr>
        <w:t xml:space="preserve">  </w:t>
      </w:r>
      <w:r w:rsidRPr="00101651">
        <w:rPr>
          <w:sz w:val="20"/>
          <w:szCs w:val="20"/>
        </w:rPr>
        <w:t xml:space="preserve">The risk that the </w:t>
      </w:r>
      <w:r w:rsidR="00074143">
        <w:rPr>
          <w:sz w:val="20"/>
          <w:szCs w:val="20"/>
        </w:rPr>
        <w:t>Scheme</w:t>
      </w:r>
      <w:r w:rsidRPr="00101651">
        <w:rPr>
          <w:sz w:val="20"/>
          <w:szCs w:val="20"/>
        </w:rPr>
        <w:t xml:space="preserve"> has insufficient assets to meet all its liabilities as they fall due</w:t>
      </w:r>
      <w:r w:rsidR="00971307">
        <w:rPr>
          <w:sz w:val="20"/>
          <w:szCs w:val="20"/>
        </w:rPr>
        <w:t>.</w:t>
      </w:r>
    </w:p>
    <w:p w:rsidR="005C48ED" w:rsidRPr="00101651" w:rsidRDefault="005C48ED" w:rsidP="006E6389">
      <w:pPr>
        <w:spacing w:line="260" w:lineRule="atLeast"/>
        <w:ind w:left="567" w:hanging="567"/>
        <w:jc w:val="both"/>
        <w:rPr>
          <w:rFonts w:cs="Arial"/>
          <w:sz w:val="20"/>
          <w:szCs w:val="20"/>
        </w:rPr>
      </w:pPr>
    </w:p>
    <w:p w:rsidR="005C48ED" w:rsidRPr="00101651" w:rsidRDefault="005C48ED" w:rsidP="00074143">
      <w:pPr>
        <w:pStyle w:val="ListParagraph"/>
        <w:numPr>
          <w:ilvl w:val="0"/>
          <w:numId w:val="3"/>
        </w:numPr>
        <w:spacing w:line="260" w:lineRule="atLeast"/>
        <w:ind w:left="567" w:hanging="567"/>
        <w:contextualSpacing/>
        <w:jc w:val="both"/>
        <w:rPr>
          <w:sz w:val="20"/>
          <w:szCs w:val="20"/>
        </w:rPr>
      </w:pPr>
      <w:r w:rsidRPr="00101651">
        <w:rPr>
          <w:color w:val="424FB3"/>
          <w:sz w:val="20"/>
          <w:szCs w:val="20"/>
        </w:rPr>
        <w:t xml:space="preserve">Mismatching risk: </w:t>
      </w:r>
      <w:r w:rsidR="003F649B" w:rsidRPr="00101651">
        <w:rPr>
          <w:color w:val="424FB3"/>
          <w:sz w:val="20"/>
          <w:szCs w:val="20"/>
        </w:rPr>
        <w:t xml:space="preserve"> </w:t>
      </w:r>
      <w:r w:rsidRPr="00101651">
        <w:rPr>
          <w:sz w:val="20"/>
          <w:szCs w:val="20"/>
        </w:rPr>
        <w:t>The risk of a significant difference in the sensitivity of asset and liability values to changes in financial and demographic factors</w:t>
      </w:r>
      <w:r w:rsidR="00971307">
        <w:rPr>
          <w:sz w:val="20"/>
          <w:szCs w:val="20"/>
        </w:rPr>
        <w:t>.</w:t>
      </w:r>
    </w:p>
    <w:p w:rsidR="005C48ED" w:rsidRPr="00101651" w:rsidRDefault="005C48ED" w:rsidP="006E6389">
      <w:pPr>
        <w:spacing w:line="260" w:lineRule="atLeast"/>
        <w:ind w:left="567" w:hanging="567"/>
        <w:jc w:val="both"/>
        <w:rPr>
          <w:rFonts w:cs="Arial"/>
          <w:sz w:val="20"/>
          <w:szCs w:val="20"/>
        </w:rPr>
      </w:pPr>
    </w:p>
    <w:p w:rsidR="005C48ED" w:rsidRPr="00101651" w:rsidRDefault="005C48ED" w:rsidP="00074143">
      <w:pPr>
        <w:pStyle w:val="ListParagraph"/>
        <w:numPr>
          <w:ilvl w:val="0"/>
          <w:numId w:val="3"/>
        </w:numPr>
        <w:spacing w:line="260" w:lineRule="atLeast"/>
        <w:ind w:left="567" w:hanging="567"/>
        <w:contextualSpacing/>
        <w:jc w:val="both"/>
        <w:rPr>
          <w:sz w:val="20"/>
          <w:szCs w:val="20"/>
        </w:rPr>
      </w:pPr>
      <w:r w:rsidRPr="00101651">
        <w:rPr>
          <w:color w:val="424FB3"/>
          <w:sz w:val="20"/>
          <w:szCs w:val="20"/>
        </w:rPr>
        <w:t>Manager risk:</w:t>
      </w:r>
      <w:r w:rsidR="003F649B" w:rsidRPr="00101651">
        <w:rPr>
          <w:color w:val="424FB3"/>
          <w:sz w:val="20"/>
          <w:szCs w:val="20"/>
        </w:rPr>
        <w:t xml:space="preserve"> </w:t>
      </w:r>
      <w:r w:rsidRPr="00101651">
        <w:rPr>
          <w:color w:val="424FB3"/>
          <w:sz w:val="20"/>
          <w:szCs w:val="20"/>
        </w:rPr>
        <w:t xml:space="preserve"> </w:t>
      </w:r>
      <w:r w:rsidR="00674939" w:rsidRPr="00101651">
        <w:rPr>
          <w:sz w:val="20"/>
          <w:szCs w:val="20"/>
        </w:rPr>
        <w:t xml:space="preserve">The failure by the </w:t>
      </w:r>
      <w:r w:rsidR="00A11FB6">
        <w:rPr>
          <w:sz w:val="20"/>
          <w:szCs w:val="20"/>
        </w:rPr>
        <w:t>i</w:t>
      </w:r>
      <w:r w:rsidR="005078CD">
        <w:rPr>
          <w:sz w:val="20"/>
          <w:szCs w:val="20"/>
        </w:rPr>
        <w:t xml:space="preserve">nvestment </w:t>
      </w:r>
      <w:r w:rsidR="00A11FB6">
        <w:rPr>
          <w:sz w:val="20"/>
          <w:szCs w:val="20"/>
        </w:rPr>
        <w:t>m</w:t>
      </w:r>
      <w:r w:rsidR="005078CD">
        <w:rPr>
          <w:sz w:val="20"/>
          <w:szCs w:val="20"/>
        </w:rPr>
        <w:t>anager</w:t>
      </w:r>
      <w:r w:rsidR="00A11FB6">
        <w:rPr>
          <w:sz w:val="20"/>
          <w:szCs w:val="20"/>
        </w:rPr>
        <w:t>s</w:t>
      </w:r>
      <w:r w:rsidRPr="00101651">
        <w:rPr>
          <w:sz w:val="20"/>
          <w:szCs w:val="20"/>
        </w:rPr>
        <w:t xml:space="preserve"> to achieve the rat</w:t>
      </w:r>
      <w:r w:rsidR="003B0ECC" w:rsidRPr="00101651">
        <w:rPr>
          <w:sz w:val="20"/>
          <w:szCs w:val="20"/>
        </w:rPr>
        <w:t>es of investment return assumed</w:t>
      </w:r>
      <w:r w:rsidR="00971307">
        <w:rPr>
          <w:sz w:val="20"/>
          <w:szCs w:val="20"/>
        </w:rPr>
        <w:t>.</w:t>
      </w:r>
    </w:p>
    <w:p w:rsidR="003B0ECC" w:rsidRPr="00101651" w:rsidRDefault="003B0ECC" w:rsidP="003B0ECC">
      <w:pPr>
        <w:pStyle w:val="ListParagraph"/>
        <w:rPr>
          <w:sz w:val="20"/>
          <w:szCs w:val="20"/>
        </w:rPr>
      </w:pPr>
    </w:p>
    <w:p w:rsidR="005C48ED" w:rsidRPr="00101651" w:rsidRDefault="005C48ED" w:rsidP="00074143">
      <w:pPr>
        <w:pStyle w:val="ListParagraph"/>
        <w:numPr>
          <w:ilvl w:val="0"/>
          <w:numId w:val="3"/>
        </w:numPr>
        <w:spacing w:line="260" w:lineRule="atLeast"/>
        <w:ind w:left="567" w:hanging="567"/>
        <w:contextualSpacing/>
        <w:jc w:val="both"/>
        <w:rPr>
          <w:sz w:val="20"/>
          <w:szCs w:val="20"/>
        </w:rPr>
      </w:pPr>
      <w:r w:rsidRPr="00101651">
        <w:rPr>
          <w:color w:val="424FB3"/>
          <w:sz w:val="20"/>
          <w:szCs w:val="20"/>
        </w:rPr>
        <w:t xml:space="preserve">Liquidity risk: </w:t>
      </w:r>
      <w:r w:rsidR="003F649B" w:rsidRPr="00101651">
        <w:rPr>
          <w:color w:val="424FB3"/>
          <w:sz w:val="20"/>
          <w:szCs w:val="20"/>
        </w:rPr>
        <w:t xml:space="preserve"> </w:t>
      </w:r>
      <w:r w:rsidRPr="00101651">
        <w:rPr>
          <w:sz w:val="20"/>
          <w:szCs w:val="20"/>
        </w:rPr>
        <w:t xml:space="preserve">The risk of a shortfall of liquid assets relative to the </w:t>
      </w:r>
      <w:r w:rsidR="00074143">
        <w:rPr>
          <w:sz w:val="20"/>
          <w:szCs w:val="20"/>
        </w:rPr>
        <w:t>Scheme</w:t>
      </w:r>
      <w:r w:rsidRPr="00101651">
        <w:rPr>
          <w:sz w:val="20"/>
          <w:szCs w:val="20"/>
        </w:rPr>
        <w:t>’s immediate liabilities</w:t>
      </w:r>
      <w:r w:rsidR="00971307">
        <w:rPr>
          <w:sz w:val="20"/>
          <w:szCs w:val="20"/>
        </w:rPr>
        <w:t>.</w:t>
      </w:r>
    </w:p>
    <w:p w:rsidR="005C48ED" w:rsidRPr="00101651" w:rsidRDefault="005C48ED" w:rsidP="006E6389">
      <w:pPr>
        <w:spacing w:line="260" w:lineRule="atLeast"/>
        <w:ind w:left="567" w:hanging="567"/>
        <w:jc w:val="both"/>
        <w:rPr>
          <w:rFonts w:cs="Arial"/>
          <w:sz w:val="20"/>
          <w:szCs w:val="20"/>
        </w:rPr>
      </w:pPr>
    </w:p>
    <w:p w:rsidR="005C48ED" w:rsidRPr="00101651" w:rsidRDefault="005C48ED" w:rsidP="00074143">
      <w:pPr>
        <w:pStyle w:val="ListParagraph"/>
        <w:numPr>
          <w:ilvl w:val="0"/>
          <w:numId w:val="3"/>
        </w:numPr>
        <w:spacing w:line="260" w:lineRule="atLeast"/>
        <w:ind w:left="567" w:hanging="567"/>
        <w:contextualSpacing/>
        <w:jc w:val="both"/>
        <w:rPr>
          <w:sz w:val="20"/>
          <w:szCs w:val="20"/>
        </w:rPr>
      </w:pPr>
      <w:r w:rsidRPr="00101651">
        <w:rPr>
          <w:color w:val="424FB3"/>
          <w:sz w:val="20"/>
          <w:szCs w:val="20"/>
        </w:rPr>
        <w:t xml:space="preserve">Custodian risk: </w:t>
      </w:r>
      <w:r w:rsidR="003F649B" w:rsidRPr="00101651">
        <w:rPr>
          <w:color w:val="424FB3"/>
          <w:sz w:val="20"/>
          <w:szCs w:val="20"/>
        </w:rPr>
        <w:t xml:space="preserve"> </w:t>
      </w:r>
      <w:r w:rsidRPr="00101651">
        <w:rPr>
          <w:sz w:val="20"/>
          <w:szCs w:val="20"/>
        </w:rPr>
        <w:t>The risk of failed or inadequate performance by the custodian</w:t>
      </w:r>
      <w:r w:rsidR="00971307">
        <w:rPr>
          <w:sz w:val="20"/>
          <w:szCs w:val="20"/>
        </w:rPr>
        <w:t>.</w:t>
      </w:r>
    </w:p>
    <w:p w:rsidR="005C48ED" w:rsidRPr="00101651" w:rsidRDefault="005C48ED" w:rsidP="006E6389">
      <w:pPr>
        <w:spacing w:line="260" w:lineRule="atLeast"/>
        <w:ind w:left="567" w:hanging="567"/>
        <w:jc w:val="both"/>
        <w:rPr>
          <w:rFonts w:cs="Arial"/>
          <w:sz w:val="20"/>
          <w:szCs w:val="20"/>
        </w:rPr>
      </w:pPr>
    </w:p>
    <w:p w:rsidR="005C48ED" w:rsidRPr="00101651" w:rsidRDefault="005C48ED" w:rsidP="00074143">
      <w:pPr>
        <w:pStyle w:val="ListParagraph"/>
        <w:numPr>
          <w:ilvl w:val="0"/>
          <w:numId w:val="3"/>
        </w:numPr>
        <w:spacing w:line="260" w:lineRule="atLeast"/>
        <w:ind w:left="567" w:hanging="567"/>
        <w:contextualSpacing/>
        <w:jc w:val="both"/>
        <w:rPr>
          <w:sz w:val="20"/>
          <w:szCs w:val="20"/>
        </w:rPr>
      </w:pPr>
      <w:r w:rsidRPr="00101651">
        <w:rPr>
          <w:color w:val="424FB3"/>
          <w:sz w:val="20"/>
          <w:szCs w:val="20"/>
        </w:rPr>
        <w:t xml:space="preserve">Concentration Risk: </w:t>
      </w:r>
      <w:r w:rsidR="003F649B" w:rsidRPr="00101651">
        <w:rPr>
          <w:color w:val="424FB3"/>
          <w:sz w:val="20"/>
          <w:szCs w:val="20"/>
        </w:rPr>
        <w:t xml:space="preserve"> </w:t>
      </w:r>
      <w:r w:rsidRPr="00101651">
        <w:rPr>
          <w:sz w:val="20"/>
          <w:szCs w:val="20"/>
        </w:rPr>
        <w:t>The risk that the performance of any single investment that constituted a large proportion of the assets would disproportionately influence the overall level of assets</w:t>
      </w:r>
      <w:r w:rsidR="00971307">
        <w:rPr>
          <w:sz w:val="20"/>
          <w:szCs w:val="20"/>
        </w:rPr>
        <w:t>.</w:t>
      </w:r>
    </w:p>
    <w:p w:rsidR="005C48ED" w:rsidRPr="00101651" w:rsidRDefault="005C48ED" w:rsidP="006E6389">
      <w:pPr>
        <w:spacing w:line="260" w:lineRule="atLeast"/>
        <w:ind w:left="567" w:hanging="567"/>
        <w:jc w:val="both"/>
        <w:rPr>
          <w:rFonts w:cs="Arial"/>
          <w:sz w:val="20"/>
          <w:szCs w:val="20"/>
        </w:rPr>
      </w:pPr>
    </w:p>
    <w:p w:rsidR="005C48ED" w:rsidRPr="00101651" w:rsidRDefault="005C48ED" w:rsidP="00074143">
      <w:pPr>
        <w:pStyle w:val="ListParagraph"/>
        <w:numPr>
          <w:ilvl w:val="0"/>
          <w:numId w:val="3"/>
        </w:numPr>
        <w:spacing w:line="260" w:lineRule="atLeast"/>
        <w:ind w:left="567" w:hanging="567"/>
        <w:contextualSpacing/>
        <w:jc w:val="both"/>
        <w:rPr>
          <w:sz w:val="20"/>
          <w:szCs w:val="20"/>
        </w:rPr>
      </w:pPr>
      <w:r w:rsidRPr="00101651">
        <w:rPr>
          <w:color w:val="424FB3"/>
          <w:sz w:val="20"/>
          <w:szCs w:val="20"/>
        </w:rPr>
        <w:t xml:space="preserve">Political risk:  </w:t>
      </w:r>
      <w:r w:rsidRPr="00101651">
        <w:rPr>
          <w:sz w:val="20"/>
          <w:szCs w:val="20"/>
        </w:rPr>
        <w:t>The financial risk that a country’s government will suddenly change its policies</w:t>
      </w:r>
      <w:r w:rsidR="00971307">
        <w:rPr>
          <w:sz w:val="20"/>
          <w:szCs w:val="20"/>
        </w:rPr>
        <w:t>.</w:t>
      </w:r>
    </w:p>
    <w:p w:rsidR="005C48ED" w:rsidRPr="00101651" w:rsidRDefault="005C48ED" w:rsidP="006E6389">
      <w:pPr>
        <w:spacing w:line="260" w:lineRule="atLeast"/>
        <w:ind w:left="567" w:hanging="567"/>
        <w:jc w:val="both"/>
        <w:rPr>
          <w:rFonts w:cs="Arial"/>
          <w:sz w:val="20"/>
          <w:szCs w:val="20"/>
        </w:rPr>
      </w:pPr>
    </w:p>
    <w:p w:rsidR="005C48ED" w:rsidRPr="00101651" w:rsidRDefault="005C48ED" w:rsidP="00074143">
      <w:pPr>
        <w:pStyle w:val="ListParagraph"/>
        <w:numPr>
          <w:ilvl w:val="0"/>
          <w:numId w:val="3"/>
        </w:numPr>
        <w:spacing w:line="260" w:lineRule="atLeast"/>
        <w:ind w:left="567" w:hanging="567"/>
        <w:contextualSpacing/>
        <w:jc w:val="both"/>
        <w:rPr>
          <w:sz w:val="20"/>
          <w:szCs w:val="20"/>
        </w:rPr>
      </w:pPr>
      <w:r w:rsidRPr="00101651">
        <w:rPr>
          <w:color w:val="424FB3"/>
          <w:sz w:val="20"/>
          <w:szCs w:val="20"/>
        </w:rPr>
        <w:t xml:space="preserve">Sponsor risk: </w:t>
      </w:r>
      <w:r w:rsidR="003F649B" w:rsidRPr="00101651">
        <w:rPr>
          <w:color w:val="424FB3"/>
          <w:sz w:val="20"/>
          <w:szCs w:val="20"/>
        </w:rPr>
        <w:t xml:space="preserve"> </w:t>
      </w:r>
      <w:r w:rsidRPr="00101651">
        <w:rPr>
          <w:sz w:val="20"/>
          <w:szCs w:val="20"/>
        </w:rPr>
        <w:t xml:space="preserve">The possibility of failure of the </w:t>
      </w:r>
      <w:r w:rsidR="00074143">
        <w:rPr>
          <w:sz w:val="20"/>
          <w:szCs w:val="20"/>
        </w:rPr>
        <w:t>Scheme</w:t>
      </w:r>
      <w:r w:rsidRPr="00101651">
        <w:rPr>
          <w:sz w:val="20"/>
          <w:szCs w:val="20"/>
        </w:rPr>
        <w:t>’s sponsoring employers</w:t>
      </w:r>
      <w:r w:rsidR="00971307">
        <w:rPr>
          <w:sz w:val="20"/>
          <w:szCs w:val="20"/>
        </w:rPr>
        <w:t>.</w:t>
      </w:r>
    </w:p>
    <w:p w:rsidR="005C48ED" w:rsidRPr="00101651" w:rsidRDefault="005C48ED" w:rsidP="006E6389">
      <w:pPr>
        <w:spacing w:line="260" w:lineRule="atLeast"/>
        <w:ind w:left="567" w:hanging="567"/>
        <w:jc w:val="both"/>
        <w:rPr>
          <w:rFonts w:cs="Arial"/>
          <w:sz w:val="20"/>
          <w:szCs w:val="20"/>
        </w:rPr>
      </w:pPr>
    </w:p>
    <w:p w:rsidR="005C48ED" w:rsidRPr="00101651" w:rsidRDefault="005C48ED" w:rsidP="00074143">
      <w:pPr>
        <w:pStyle w:val="ListParagraph"/>
        <w:numPr>
          <w:ilvl w:val="0"/>
          <w:numId w:val="3"/>
        </w:numPr>
        <w:spacing w:line="260" w:lineRule="atLeast"/>
        <w:ind w:left="567" w:hanging="567"/>
        <w:contextualSpacing/>
        <w:jc w:val="both"/>
        <w:rPr>
          <w:sz w:val="20"/>
          <w:szCs w:val="20"/>
        </w:rPr>
      </w:pPr>
      <w:r w:rsidRPr="00101651">
        <w:rPr>
          <w:color w:val="424FB3"/>
          <w:sz w:val="20"/>
          <w:szCs w:val="20"/>
        </w:rPr>
        <w:t xml:space="preserve">Counterparty risk: </w:t>
      </w:r>
      <w:r w:rsidR="003F649B" w:rsidRPr="00101651">
        <w:rPr>
          <w:color w:val="424FB3"/>
          <w:sz w:val="20"/>
          <w:szCs w:val="20"/>
        </w:rPr>
        <w:t xml:space="preserve"> </w:t>
      </w:r>
      <w:r w:rsidRPr="00101651">
        <w:rPr>
          <w:sz w:val="20"/>
          <w:szCs w:val="20"/>
        </w:rPr>
        <w:t xml:space="preserve">The risk that other parties in any trade or position will default, i.e. will renege on their contractual obligations, resulting in a financial loss to the </w:t>
      </w:r>
      <w:r w:rsidR="00074143">
        <w:rPr>
          <w:sz w:val="20"/>
          <w:szCs w:val="20"/>
        </w:rPr>
        <w:t>Scheme</w:t>
      </w:r>
      <w:r w:rsidR="00971307">
        <w:rPr>
          <w:sz w:val="20"/>
          <w:szCs w:val="20"/>
        </w:rPr>
        <w:t>.</w:t>
      </w:r>
    </w:p>
    <w:p w:rsidR="005C48ED" w:rsidRPr="003F649B" w:rsidRDefault="005C48ED" w:rsidP="003F649B">
      <w:pPr>
        <w:spacing w:line="300" w:lineRule="exact"/>
        <w:jc w:val="both"/>
        <w:rPr>
          <w:rFonts w:ascii="Gotham Book" w:hAnsi="Gotham Book" w:cs="Calibri"/>
          <w:sz w:val="20"/>
          <w:szCs w:val="20"/>
        </w:rPr>
      </w:pPr>
    </w:p>
    <w:p w:rsidR="005C48ED" w:rsidRPr="00101651" w:rsidRDefault="005C48ED" w:rsidP="003F649B">
      <w:pPr>
        <w:spacing w:line="300" w:lineRule="exact"/>
        <w:jc w:val="both"/>
        <w:rPr>
          <w:rFonts w:cs="Arial"/>
          <w:sz w:val="20"/>
          <w:szCs w:val="20"/>
        </w:rPr>
      </w:pPr>
      <w:r w:rsidRPr="00101651">
        <w:rPr>
          <w:rFonts w:cs="Arial"/>
          <w:sz w:val="20"/>
          <w:szCs w:val="20"/>
        </w:rPr>
        <w:t>Due to the complex and interrelated nat</w:t>
      </w:r>
      <w:r w:rsidR="00EC2618" w:rsidRPr="00101651">
        <w:rPr>
          <w:rFonts w:cs="Arial"/>
          <w:sz w:val="20"/>
          <w:szCs w:val="20"/>
        </w:rPr>
        <w:t xml:space="preserve">ure of these risks, the </w:t>
      </w:r>
      <w:r w:rsidR="00C0490C" w:rsidRPr="00C0490C">
        <w:rPr>
          <w:rFonts w:cs="Arial"/>
          <w:sz w:val="20"/>
          <w:szCs w:val="20"/>
        </w:rPr>
        <w:t>Trustees</w:t>
      </w:r>
      <w:r w:rsidRPr="00101651">
        <w:rPr>
          <w:rFonts w:cs="Arial"/>
          <w:sz w:val="20"/>
          <w:szCs w:val="20"/>
        </w:rPr>
        <w:t xml:space="preserve"> consider the majority of these risks in a qualitative rather than quantitative manner as part of each formal investment strategy review.  Some of these risks may also be modelled explicitly during the course of such reviews.</w:t>
      </w:r>
    </w:p>
    <w:p w:rsidR="005C48ED" w:rsidRPr="00101651" w:rsidRDefault="005C48ED" w:rsidP="003F649B">
      <w:pPr>
        <w:spacing w:line="300" w:lineRule="exact"/>
        <w:jc w:val="both"/>
        <w:rPr>
          <w:rFonts w:cs="Arial"/>
          <w:sz w:val="20"/>
          <w:szCs w:val="20"/>
        </w:rPr>
      </w:pPr>
    </w:p>
    <w:p w:rsidR="005C48ED" w:rsidRPr="00101651" w:rsidRDefault="00EC2618" w:rsidP="003F649B">
      <w:pPr>
        <w:spacing w:line="300" w:lineRule="exact"/>
        <w:jc w:val="both"/>
        <w:rPr>
          <w:rFonts w:cs="Arial"/>
          <w:sz w:val="20"/>
          <w:szCs w:val="20"/>
        </w:rPr>
      </w:pPr>
      <w:r w:rsidRPr="00346AF1">
        <w:rPr>
          <w:rFonts w:cs="Arial"/>
          <w:sz w:val="20"/>
          <w:szCs w:val="20"/>
        </w:rPr>
        <w:t xml:space="preserve">The policy of the </w:t>
      </w:r>
      <w:r w:rsidR="00C0490C" w:rsidRPr="00346AF1">
        <w:rPr>
          <w:rFonts w:cs="Arial"/>
          <w:sz w:val="20"/>
          <w:szCs w:val="20"/>
        </w:rPr>
        <w:t xml:space="preserve">Trustees </w:t>
      </w:r>
      <w:r w:rsidR="00CB2AA7" w:rsidRPr="00346AF1">
        <w:rPr>
          <w:rFonts w:cs="Arial"/>
          <w:sz w:val="20"/>
          <w:szCs w:val="20"/>
        </w:rPr>
        <w:t>is</w:t>
      </w:r>
      <w:r w:rsidR="005C48ED" w:rsidRPr="00346AF1">
        <w:rPr>
          <w:rFonts w:cs="Arial"/>
          <w:sz w:val="20"/>
          <w:szCs w:val="20"/>
        </w:rPr>
        <w:t xml:space="preserve"> to monitor</w:t>
      </w:r>
      <w:r w:rsidR="005C48ED" w:rsidRPr="00101651">
        <w:rPr>
          <w:rFonts w:cs="Arial"/>
          <w:sz w:val="20"/>
          <w:szCs w:val="20"/>
        </w:rPr>
        <w:t xml:space="preserve">, where possible, these risks on a regular basis.  The </w:t>
      </w:r>
      <w:r w:rsidR="00C0490C" w:rsidRPr="00C0490C">
        <w:rPr>
          <w:rFonts w:cs="Arial"/>
          <w:sz w:val="20"/>
          <w:szCs w:val="20"/>
        </w:rPr>
        <w:t>Trustees</w:t>
      </w:r>
      <w:r w:rsidR="005C48ED" w:rsidRPr="00101651">
        <w:rPr>
          <w:rFonts w:cs="Arial"/>
          <w:sz w:val="20"/>
          <w:szCs w:val="20"/>
        </w:rPr>
        <w:t xml:space="preserve"> therefore consider:</w:t>
      </w:r>
    </w:p>
    <w:p w:rsidR="005C48ED" w:rsidRPr="00101651" w:rsidRDefault="005C48ED" w:rsidP="003F649B">
      <w:pPr>
        <w:spacing w:line="300" w:lineRule="exact"/>
        <w:jc w:val="both"/>
        <w:rPr>
          <w:rFonts w:cs="Arial"/>
          <w:sz w:val="20"/>
          <w:szCs w:val="20"/>
        </w:rPr>
      </w:pPr>
    </w:p>
    <w:p w:rsidR="005C48ED" w:rsidRPr="00101651" w:rsidRDefault="005C48ED" w:rsidP="00074143">
      <w:pPr>
        <w:pStyle w:val="ListParagraph"/>
        <w:numPr>
          <w:ilvl w:val="0"/>
          <w:numId w:val="4"/>
        </w:numPr>
        <w:spacing w:after="120" w:line="300" w:lineRule="exact"/>
        <w:ind w:left="567" w:hanging="567"/>
        <w:contextualSpacing/>
        <w:jc w:val="both"/>
        <w:rPr>
          <w:sz w:val="20"/>
          <w:szCs w:val="20"/>
        </w:rPr>
      </w:pPr>
      <w:r w:rsidRPr="00101651">
        <w:rPr>
          <w:sz w:val="20"/>
          <w:szCs w:val="20"/>
        </w:rPr>
        <w:t xml:space="preserve">The actual funding level versus the Statutory </w:t>
      </w:r>
      <w:r w:rsidR="00903F57">
        <w:rPr>
          <w:sz w:val="20"/>
          <w:szCs w:val="20"/>
        </w:rPr>
        <w:t>Fund</w:t>
      </w:r>
      <w:r w:rsidRPr="00101651">
        <w:rPr>
          <w:sz w:val="20"/>
          <w:szCs w:val="20"/>
        </w:rPr>
        <w:t>ing Objective</w:t>
      </w:r>
    </w:p>
    <w:p w:rsidR="005C48ED" w:rsidRPr="00101651" w:rsidRDefault="005C48ED" w:rsidP="00074143">
      <w:pPr>
        <w:pStyle w:val="ListParagraph"/>
        <w:numPr>
          <w:ilvl w:val="0"/>
          <w:numId w:val="4"/>
        </w:numPr>
        <w:spacing w:after="120" w:line="300" w:lineRule="exact"/>
        <w:ind w:left="567" w:hanging="567"/>
        <w:contextualSpacing/>
        <w:jc w:val="both"/>
        <w:rPr>
          <w:sz w:val="20"/>
          <w:szCs w:val="20"/>
        </w:rPr>
      </w:pPr>
      <w:r w:rsidRPr="00101651">
        <w:rPr>
          <w:sz w:val="20"/>
          <w:szCs w:val="20"/>
        </w:rPr>
        <w:t xml:space="preserve">Actual performance versus the </w:t>
      </w:r>
      <w:r w:rsidR="00074143">
        <w:rPr>
          <w:sz w:val="20"/>
          <w:szCs w:val="20"/>
        </w:rPr>
        <w:t>Scheme</w:t>
      </w:r>
      <w:r w:rsidRPr="00101651">
        <w:rPr>
          <w:sz w:val="20"/>
          <w:szCs w:val="20"/>
        </w:rPr>
        <w:t>’s investment and funding objectives</w:t>
      </w:r>
    </w:p>
    <w:p w:rsidR="005C48ED" w:rsidRPr="00101651" w:rsidRDefault="00A11FB6" w:rsidP="00074143">
      <w:pPr>
        <w:pStyle w:val="ListParagraph"/>
        <w:numPr>
          <w:ilvl w:val="0"/>
          <w:numId w:val="4"/>
        </w:numPr>
        <w:spacing w:after="120" w:line="300" w:lineRule="exact"/>
        <w:ind w:left="567" w:hanging="567"/>
        <w:contextualSpacing/>
        <w:jc w:val="both"/>
        <w:rPr>
          <w:sz w:val="20"/>
          <w:szCs w:val="20"/>
        </w:rPr>
      </w:pPr>
      <w:r>
        <w:rPr>
          <w:sz w:val="20"/>
          <w:szCs w:val="20"/>
        </w:rPr>
        <w:t>Investment m</w:t>
      </w:r>
      <w:r w:rsidR="005078CD">
        <w:rPr>
          <w:sz w:val="20"/>
          <w:szCs w:val="20"/>
        </w:rPr>
        <w:t>anagers</w:t>
      </w:r>
      <w:r>
        <w:rPr>
          <w:sz w:val="20"/>
          <w:szCs w:val="20"/>
        </w:rPr>
        <w:t>’</w:t>
      </w:r>
      <w:r w:rsidR="005C48ED" w:rsidRPr="00101651">
        <w:rPr>
          <w:sz w:val="20"/>
          <w:szCs w:val="20"/>
        </w:rPr>
        <w:t xml:space="preserve"> performance versus their respective benchmarks and targets</w:t>
      </w:r>
    </w:p>
    <w:p w:rsidR="00170783" w:rsidRPr="00267155" w:rsidRDefault="005C48ED" w:rsidP="00267155">
      <w:pPr>
        <w:pStyle w:val="ListParagraph"/>
        <w:numPr>
          <w:ilvl w:val="0"/>
          <w:numId w:val="4"/>
        </w:numPr>
        <w:spacing w:line="300" w:lineRule="exact"/>
        <w:ind w:left="567" w:hanging="567"/>
        <w:contextualSpacing/>
        <w:jc w:val="both"/>
        <w:rPr>
          <w:sz w:val="20"/>
          <w:szCs w:val="20"/>
        </w:rPr>
      </w:pPr>
      <w:r w:rsidRPr="00101651">
        <w:rPr>
          <w:sz w:val="20"/>
          <w:szCs w:val="20"/>
        </w:rPr>
        <w:t>A</w:t>
      </w:r>
      <w:r w:rsidR="00A11FB6">
        <w:rPr>
          <w:sz w:val="20"/>
          <w:szCs w:val="20"/>
        </w:rPr>
        <w:t>ny significant issues with the investment m</w:t>
      </w:r>
      <w:r w:rsidRPr="00101651">
        <w:rPr>
          <w:sz w:val="20"/>
          <w:szCs w:val="20"/>
        </w:rPr>
        <w:t>anager</w:t>
      </w:r>
      <w:r w:rsidR="00A11FB6">
        <w:rPr>
          <w:sz w:val="20"/>
          <w:szCs w:val="20"/>
        </w:rPr>
        <w:t>s</w:t>
      </w:r>
      <w:r w:rsidRPr="00101651">
        <w:rPr>
          <w:sz w:val="20"/>
          <w:szCs w:val="20"/>
        </w:rPr>
        <w:t xml:space="preserve"> that may impact </w:t>
      </w:r>
      <w:r w:rsidR="005078CD">
        <w:rPr>
          <w:sz w:val="20"/>
          <w:szCs w:val="20"/>
        </w:rPr>
        <w:t>its</w:t>
      </w:r>
      <w:r w:rsidRPr="00101651">
        <w:rPr>
          <w:sz w:val="20"/>
          <w:szCs w:val="20"/>
        </w:rPr>
        <w:t xml:space="preserve"> ability to meet investment performance objectives set by the </w:t>
      </w:r>
      <w:r w:rsidR="00C0490C" w:rsidRPr="00C0490C">
        <w:rPr>
          <w:sz w:val="20"/>
          <w:szCs w:val="20"/>
        </w:rPr>
        <w:t>Trustees</w:t>
      </w:r>
      <w:r w:rsidR="008073EA">
        <w:rPr>
          <w:sz w:val="20"/>
          <w:szCs w:val="20"/>
        </w:rPr>
        <w:t>.</w:t>
      </w:r>
    </w:p>
    <w:p w:rsidR="005C48ED" w:rsidRDefault="005C48ED" w:rsidP="003F649B">
      <w:pPr>
        <w:spacing w:line="300" w:lineRule="exact"/>
        <w:jc w:val="both"/>
        <w:rPr>
          <w:rFonts w:cs="Arial"/>
          <w:sz w:val="20"/>
          <w:szCs w:val="20"/>
        </w:rPr>
      </w:pPr>
    </w:p>
    <w:p w:rsidR="00C54494" w:rsidRDefault="00C54494" w:rsidP="003F649B">
      <w:pPr>
        <w:spacing w:line="300" w:lineRule="exact"/>
        <w:jc w:val="both"/>
        <w:rPr>
          <w:rFonts w:cs="Arial"/>
          <w:sz w:val="20"/>
          <w:szCs w:val="20"/>
        </w:rPr>
      </w:pPr>
    </w:p>
    <w:p w:rsidR="00C54494" w:rsidRPr="00101651" w:rsidRDefault="00C54494" w:rsidP="003F649B">
      <w:pPr>
        <w:spacing w:line="300" w:lineRule="exact"/>
        <w:jc w:val="both"/>
        <w:rPr>
          <w:rFonts w:cs="Arial"/>
          <w:sz w:val="20"/>
          <w:szCs w:val="20"/>
        </w:rPr>
      </w:pPr>
    </w:p>
    <w:p w:rsidR="00634CB2" w:rsidRPr="00101651" w:rsidRDefault="00634CB2" w:rsidP="00074143">
      <w:pPr>
        <w:pStyle w:val="ListParagraph"/>
        <w:numPr>
          <w:ilvl w:val="0"/>
          <w:numId w:val="1"/>
        </w:numPr>
        <w:spacing w:line="260" w:lineRule="atLeast"/>
        <w:ind w:left="567" w:hanging="567"/>
        <w:contextualSpacing/>
        <w:rPr>
          <w:color w:val="424FB3"/>
          <w:sz w:val="28"/>
          <w:szCs w:val="28"/>
        </w:rPr>
      </w:pPr>
      <w:r w:rsidRPr="00101651">
        <w:rPr>
          <w:color w:val="424FB3"/>
          <w:sz w:val="28"/>
          <w:szCs w:val="28"/>
        </w:rPr>
        <w:lastRenderedPageBreak/>
        <w:t>Fee Structures</w:t>
      </w:r>
    </w:p>
    <w:p w:rsidR="005C48ED" w:rsidRPr="00033E83" w:rsidRDefault="005C48ED" w:rsidP="00033E83">
      <w:pPr>
        <w:spacing w:line="300" w:lineRule="exact"/>
        <w:rPr>
          <w:rFonts w:ascii="Gotham Book" w:hAnsi="Gotham Book" w:cs="Calibri"/>
          <w:sz w:val="20"/>
          <w:szCs w:val="20"/>
        </w:rPr>
      </w:pPr>
    </w:p>
    <w:p w:rsidR="000D0853" w:rsidRDefault="00974E6D" w:rsidP="00346AF1">
      <w:pPr>
        <w:spacing w:line="264" w:lineRule="auto"/>
        <w:jc w:val="both"/>
        <w:rPr>
          <w:sz w:val="20"/>
          <w:szCs w:val="20"/>
        </w:rPr>
      </w:pPr>
      <w:r w:rsidRPr="00060081">
        <w:rPr>
          <w:rFonts w:cs="Arial"/>
          <w:sz w:val="20"/>
          <w:szCs w:val="20"/>
        </w:rPr>
        <w:t xml:space="preserve">The </w:t>
      </w:r>
      <w:r w:rsidR="00A11FB6">
        <w:rPr>
          <w:rFonts w:cs="Arial"/>
          <w:sz w:val="20"/>
          <w:szCs w:val="20"/>
        </w:rPr>
        <w:t>investment m</w:t>
      </w:r>
      <w:r w:rsidR="005078CD">
        <w:rPr>
          <w:rFonts w:cs="Arial"/>
          <w:sz w:val="20"/>
          <w:szCs w:val="20"/>
        </w:rPr>
        <w:t>anager</w:t>
      </w:r>
      <w:r w:rsidR="00A11FB6">
        <w:rPr>
          <w:rFonts w:cs="Arial"/>
          <w:sz w:val="20"/>
          <w:szCs w:val="20"/>
        </w:rPr>
        <w:t>s</w:t>
      </w:r>
      <w:r w:rsidRPr="00695C5A">
        <w:rPr>
          <w:rFonts w:cs="Arial"/>
          <w:sz w:val="20"/>
          <w:szCs w:val="20"/>
        </w:rPr>
        <w:t xml:space="preserve"> </w:t>
      </w:r>
      <w:r w:rsidR="00A11FB6">
        <w:rPr>
          <w:rFonts w:cs="Arial"/>
          <w:sz w:val="20"/>
          <w:szCs w:val="20"/>
        </w:rPr>
        <w:t>are</w:t>
      </w:r>
      <w:r w:rsidRPr="00695C5A">
        <w:rPr>
          <w:rFonts w:cs="Arial"/>
          <w:sz w:val="20"/>
          <w:szCs w:val="20"/>
        </w:rPr>
        <w:t xml:space="preserve"> paid a management fee on the basis of assets under management. </w:t>
      </w:r>
      <w:r>
        <w:rPr>
          <w:rFonts w:cs="Arial"/>
          <w:sz w:val="20"/>
          <w:szCs w:val="20"/>
        </w:rPr>
        <w:t xml:space="preserve">The </w:t>
      </w:r>
      <w:r w:rsidR="00EA5882">
        <w:rPr>
          <w:rFonts w:cs="Arial"/>
          <w:sz w:val="20"/>
          <w:szCs w:val="20"/>
        </w:rPr>
        <w:t xml:space="preserve">Investment </w:t>
      </w:r>
      <w:r w:rsidRPr="00695C5A">
        <w:rPr>
          <w:rFonts w:cs="Arial"/>
          <w:sz w:val="20"/>
          <w:szCs w:val="20"/>
        </w:rPr>
        <w:t xml:space="preserve">Consultant is paid on a project basis which may be a fixed fee or based on time cost, as negotiated by the Trustees in the interests of obtaining best value for the </w:t>
      </w:r>
      <w:r w:rsidR="00074143">
        <w:rPr>
          <w:rFonts w:cs="Arial"/>
          <w:sz w:val="20"/>
          <w:szCs w:val="20"/>
        </w:rPr>
        <w:t>Scheme</w:t>
      </w:r>
      <w:r w:rsidRPr="00695C5A">
        <w:rPr>
          <w:rFonts w:cs="Arial"/>
          <w:sz w:val="20"/>
          <w:szCs w:val="20"/>
        </w:rPr>
        <w:t>.</w:t>
      </w:r>
      <w:r w:rsidR="0019424E" w:rsidRPr="0019424E">
        <w:rPr>
          <w:sz w:val="20"/>
          <w:szCs w:val="20"/>
        </w:rPr>
        <w:t xml:space="preserve"> </w:t>
      </w:r>
    </w:p>
    <w:p w:rsidR="00C54494" w:rsidRPr="00C54494" w:rsidRDefault="00C54494" w:rsidP="00C54494">
      <w:pPr>
        <w:spacing w:line="300" w:lineRule="exact"/>
        <w:jc w:val="both"/>
        <w:rPr>
          <w:rFonts w:cs="Arial"/>
          <w:sz w:val="20"/>
          <w:szCs w:val="20"/>
        </w:rPr>
      </w:pPr>
    </w:p>
    <w:p w:rsidR="00C54494" w:rsidRPr="00C54494" w:rsidRDefault="00C54494" w:rsidP="00C54494">
      <w:pPr>
        <w:spacing w:line="300" w:lineRule="exact"/>
        <w:jc w:val="both"/>
        <w:rPr>
          <w:rFonts w:cs="Arial"/>
          <w:sz w:val="20"/>
          <w:szCs w:val="20"/>
        </w:rPr>
      </w:pPr>
      <w:r w:rsidRPr="00C54494">
        <w:rPr>
          <w:rFonts w:cs="Arial"/>
          <w:sz w:val="20"/>
          <w:szCs w:val="20"/>
          <w:highlight w:val="yellow"/>
        </w:rPr>
        <w:t>The appropriateness of the Investment Managers’ remuneration will be assessed relative to market costs for similar strategies, the skill and resources required to manage the strategy, and the success or otherwise a manager has had in meeting its objectives, both financial and non-financial.</w:t>
      </w:r>
    </w:p>
    <w:p w:rsidR="00606A97" w:rsidRDefault="00606A97">
      <w:pPr>
        <w:rPr>
          <w:rFonts w:ascii="Gotham Book" w:hAnsi="Gotham Book" w:cs="Calibri"/>
          <w:sz w:val="20"/>
          <w:szCs w:val="20"/>
        </w:rPr>
      </w:pPr>
    </w:p>
    <w:p w:rsidR="00634CB2" w:rsidRPr="008073EA" w:rsidRDefault="00634CB2" w:rsidP="00074143">
      <w:pPr>
        <w:pStyle w:val="ListParagraph"/>
        <w:numPr>
          <w:ilvl w:val="0"/>
          <w:numId w:val="1"/>
        </w:numPr>
        <w:spacing w:line="260" w:lineRule="atLeast"/>
        <w:ind w:left="567" w:hanging="567"/>
        <w:contextualSpacing/>
        <w:rPr>
          <w:color w:val="424FB3"/>
          <w:sz w:val="28"/>
          <w:szCs w:val="28"/>
        </w:rPr>
      </w:pPr>
      <w:r w:rsidRPr="008073EA">
        <w:rPr>
          <w:color w:val="424FB3"/>
          <w:sz w:val="28"/>
          <w:szCs w:val="28"/>
        </w:rPr>
        <w:t>Additional Voluntary Contributions (‘AVCs’)</w:t>
      </w:r>
    </w:p>
    <w:p w:rsidR="005C48ED" w:rsidRPr="008073EA" w:rsidRDefault="005C48ED" w:rsidP="00033E83">
      <w:pPr>
        <w:spacing w:line="300" w:lineRule="exact"/>
        <w:rPr>
          <w:rFonts w:ascii="Gotham Book" w:hAnsi="Gotham Book" w:cs="Calibri"/>
          <w:sz w:val="20"/>
          <w:szCs w:val="20"/>
        </w:rPr>
      </w:pPr>
    </w:p>
    <w:p w:rsidR="0020207D" w:rsidRPr="00F8509C" w:rsidRDefault="0020207D" w:rsidP="0020207D">
      <w:pPr>
        <w:pStyle w:val="MainText"/>
        <w:jc w:val="both"/>
        <w:rPr>
          <w:rFonts w:ascii="Arial" w:hAnsi="Arial" w:cs="Arial"/>
          <w:sz w:val="20"/>
        </w:rPr>
      </w:pPr>
      <w:r w:rsidRPr="00F8509C">
        <w:rPr>
          <w:rFonts w:ascii="Arial" w:hAnsi="Arial" w:cs="Arial"/>
          <w:color w:val="000000"/>
          <w:sz w:val="20"/>
        </w:rPr>
        <w:t>The</w:t>
      </w:r>
      <w:r w:rsidR="009D2695">
        <w:rPr>
          <w:rFonts w:ascii="Arial" w:hAnsi="Arial" w:cs="Arial"/>
          <w:color w:val="000000"/>
          <w:sz w:val="20"/>
        </w:rPr>
        <w:t>re is no AVC facility available under the Scheme.</w:t>
      </w:r>
    </w:p>
    <w:p w:rsidR="00634CB2" w:rsidRPr="00101651" w:rsidRDefault="00634CB2" w:rsidP="00074143">
      <w:pPr>
        <w:pStyle w:val="ListParagraph"/>
        <w:numPr>
          <w:ilvl w:val="0"/>
          <w:numId w:val="1"/>
        </w:numPr>
        <w:spacing w:line="260" w:lineRule="atLeast"/>
        <w:ind w:left="567" w:hanging="567"/>
        <w:contextualSpacing/>
        <w:rPr>
          <w:color w:val="424FB3"/>
          <w:sz w:val="28"/>
          <w:szCs w:val="28"/>
        </w:rPr>
      </w:pPr>
      <w:r w:rsidRPr="00101651">
        <w:rPr>
          <w:color w:val="424FB3"/>
          <w:sz w:val="28"/>
          <w:szCs w:val="28"/>
        </w:rPr>
        <w:t>Best Practice Principles</w:t>
      </w:r>
    </w:p>
    <w:p w:rsidR="005C48ED" w:rsidRPr="00033E83" w:rsidRDefault="005C48ED" w:rsidP="00033E83">
      <w:pPr>
        <w:spacing w:line="300" w:lineRule="exact"/>
        <w:rPr>
          <w:rFonts w:ascii="Gotham Book" w:hAnsi="Gotham Book" w:cs="Calibri"/>
          <w:sz w:val="20"/>
          <w:szCs w:val="20"/>
        </w:rPr>
      </w:pPr>
    </w:p>
    <w:p w:rsidR="005C48ED" w:rsidRDefault="005C48ED" w:rsidP="00033E83">
      <w:pPr>
        <w:spacing w:line="300" w:lineRule="exact"/>
        <w:jc w:val="both"/>
        <w:rPr>
          <w:rFonts w:cs="Arial"/>
          <w:sz w:val="20"/>
          <w:szCs w:val="20"/>
        </w:rPr>
      </w:pPr>
      <w:r w:rsidRPr="00101651">
        <w:rPr>
          <w:rFonts w:cs="Arial"/>
          <w:sz w:val="20"/>
          <w:szCs w:val="20"/>
        </w:rPr>
        <w:t>In October 2008</w:t>
      </w:r>
      <w:r w:rsidR="00613037" w:rsidRPr="00101651">
        <w:rPr>
          <w:rFonts w:cs="Arial"/>
          <w:sz w:val="20"/>
          <w:szCs w:val="20"/>
        </w:rPr>
        <w:t>,</w:t>
      </w:r>
      <w:r w:rsidRPr="00101651">
        <w:rPr>
          <w:rFonts w:cs="Arial"/>
          <w:sz w:val="20"/>
          <w:szCs w:val="20"/>
        </w:rPr>
        <w:t xml:space="preserve"> the Government published the results of its consultation on revisions to the Myners’ principles in response to recommendations made by the National Association of Pension </w:t>
      </w:r>
      <w:r w:rsidR="00074143">
        <w:rPr>
          <w:rFonts w:cs="Arial"/>
          <w:sz w:val="20"/>
          <w:szCs w:val="20"/>
        </w:rPr>
        <w:t>Scheme</w:t>
      </w:r>
      <w:r w:rsidRPr="00101651">
        <w:rPr>
          <w:rFonts w:cs="Arial"/>
          <w:sz w:val="20"/>
          <w:szCs w:val="20"/>
        </w:rPr>
        <w:t xml:space="preserve">s (NAPF) in 2007. </w:t>
      </w:r>
      <w:r w:rsidR="00613037" w:rsidRPr="00101651">
        <w:rPr>
          <w:rFonts w:cs="Arial"/>
          <w:sz w:val="20"/>
          <w:szCs w:val="20"/>
        </w:rPr>
        <w:t xml:space="preserve"> </w:t>
      </w:r>
      <w:r w:rsidRPr="00101651">
        <w:rPr>
          <w:rFonts w:cs="Arial"/>
          <w:sz w:val="20"/>
          <w:szCs w:val="20"/>
        </w:rPr>
        <w:t xml:space="preserve">This takes the form of six high level ‘Best Practice’ principles set out below, supported by best practice guidance and </w:t>
      </w:r>
      <w:r w:rsidR="00C0490C" w:rsidRPr="00C0490C">
        <w:rPr>
          <w:rFonts w:cs="Arial"/>
          <w:sz w:val="20"/>
          <w:szCs w:val="20"/>
        </w:rPr>
        <w:t>Trustees</w:t>
      </w:r>
      <w:r w:rsidRPr="00101651">
        <w:rPr>
          <w:rFonts w:cs="Arial"/>
          <w:sz w:val="20"/>
          <w:szCs w:val="20"/>
        </w:rPr>
        <w:t xml:space="preserve"> tools that can be used to assess compliance.</w:t>
      </w:r>
    </w:p>
    <w:p w:rsidR="00C0490C" w:rsidRPr="00101651" w:rsidRDefault="00C0490C" w:rsidP="00033E83">
      <w:pPr>
        <w:spacing w:line="300" w:lineRule="exact"/>
        <w:jc w:val="both"/>
        <w:rPr>
          <w:rFonts w:cs="Arial"/>
          <w:sz w:val="20"/>
          <w:szCs w:val="20"/>
        </w:rPr>
      </w:pPr>
    </w:p>
    <w:p w:rsidR="005C48ED" w:rsidRPr="00101651" w:rsidRDefault="005C48ED" w:rsidP="00033E83">
      <w:pPr>
        <w:spacing w:line="300" w:lineRule="exact"/>
        <w:ind w:left="567" w:hanging="567"/>
        <w:rPr>
          <w:rFonts w:cs="Arial"/>
          <w:sz w:val="20"/>
          <w:szCs w:val="20"/>
        </w:rPr>
      </w:pPr>
      <w:r w:rsidRPr="00101651">
        <w:rPr>
          <w:rFonts w:cs="Arial"/>
          <w:sz w:val="20"/>
          <w:szCs w:val="20"/>
        </w:rPr>
        <w:t>1.</w:t>
      </w:r>
      <w:r w:rsidRPr="00101651">
        <w:rPr>
          <w:rFonts w:cs="Arial"/>
          <w:sz w:val="20"/>
          <w:szCs w:val="20"/>
        </w:rPr>
        <w:tab/>
        <w:t>Effective decision-making</w:t>
      </w:r>
    </w:p>
    <w:p w:rsidR="005C48ED" w:rsidRPr="00101651" w:rsidRDefault="005C48ED" w:rsidP="00033E83">
      <w:pPr>
        <w:spacing w:line="300" w:lineRule="exact"/>
        <w:ind w:left="567" w:hanging="567"/>
        <w:rPr>
          <w:rFonts w:cs="Arial"/>
          <w:sz w:val="20"/>
          <w:szCs w:val="20"/>
        </w:rPr>
      </w:pPr>
      <w:r w:rsidRPr="00101651">
        <w:rPr>
          <w:rFonts w:cs="Arial"/>
          <w:sz w:val="20"/>
          <w:szCs w:val="20"/>
        </w:rPr>
        <w:t>2.</w:t>
      </w:r>
      <w:r w:rsidRPr="00101651">
        <w:rPr>
          <w:rFonts w:cs="Arial"/>
          <w:sz w:val="20"/>
          <w:szCs w:val="20"/>
        </w:rPr>
        <w:tab/>
        <w:t>Clear objectives</w:t>
      </w:r>
    </w:p>
    <w:p w:rsidR="005C48ED" w:rsidRPr="00101651" w:rsidRDefault="005C48ED" w:rsidP="00033E83">
      <w:pPr>
        <w:spacing w:line="300" w:lineRule="exact"/>
        <w:ind w:left="567" w:hanging="567"/>
        <w:rPr>
          <w:rFonts w:cs="Arial"/>
          <w:sz w:val="20"/>
          <w:szCs w:val="20"/>
        </w:rPr>
      </w:pPr>
      <w:r w:rsidRPr="00101651">
        <w:rPr>
          <w:rFonts w:cs="Arial"/>
          <w:sz w:val="20"/>
          <w:szCs w:val="20"/>
        </w:rPr>
        <w:t>3.</w:t>
      </w:r>
      <w:r w:rsidRPr="00101651">
        <w:rPr>
          <w:rFonts w:cs="Arial"/>
          <w:sz w:val="20"/>
          <w:szCs w:val="20"/>
        </w:rPr>
        <w:tab/>
        <w:t>Risk and Liabilities</w:t>
      </w:r>
    </w:p>
    <w:p w:rsidR="005C48ED" w:rsidRPr="00101651" w:rsidRDefault="005C48ED" w:rsidP="00033E83">
      <w:pPr>
        <w:spacing w:line="300" w:lineRule="exact"/>
        <w:ind w:left="567" w:hanging="567"/>
        <w:rPr>
          <w:rFonts w:cs="Arial"/>
          <w:sz w:val="20"/>
          <w:szCs w:val="20"/>
        </w:rPr>
      </w:pPr>
      <w:r w:rsidRPr="00101651">
        <w:rPr>
          <w:rFonts w:cs="Arial"/>
          <w:sz w:val="20"/>
          <w:szCs w:val="20"/>
        </w:rPr>
        <w:t>4.</w:t>
      </w:r>
      <w:r w:rsidRPr="00101651">
        <w:rPr>
          <w:rFonts w:cs="Arial"/>
          <w:sz w:val="20"/>
          <w:szCs w:val="20"/>
        </w:rPr>
        <w:tab/>
        <w:t>Performance assessment</w:t>
      </w:r>
    </w:p>
    <w:p w:rsidR="005C48ED" w:rsidRPr="00101651" w:rsidRDefault="005C48ED" w:rsidP="00033E83">
      <w:pPr>
        <w:spacing w:line="300" w:lineRule="exact"/>
        <w:ind w:left="567" w:hanging="567"/>
        <w:rPr>
          <w:rFonts w:cs="Arial"/>
          <w:sz w:val="20"/>
          <w:szCs w:val="20"/>
        </w:rPr>
      </w:pPr>
      <w:r w:rsidRPr="00101651">
        <w:rPr>
          <w:rFonts w:cs="Arial"/>
          <w:sz w:val="20"/>
          <w:szCs w:val="20"/>
        </w:rPr>
        <w:t>5.</w:t>
      </w:r>
      <w:r w:rsidRPr="00101651">
        <w:rPr>
          <w:rFonts w:cs="Arial"/>
          <w:sz w:val="20"/>
          <w:szCs w:val="20"/>
        </w:rPr>
        <w:tab/>
        <w:t>Responsible ownership</w:t>
      </w:r>
    </w:p>
    <w:p w:rsidR="005C48ED" w:rsidRDefault="005C48ED" w:rsidP="00033E83">
      <w:pPr>
        <w:spacing w:line="300" w:lineRule="exact"/>
        <w:ind w:left="567" w:hanging="567"/>
        <w:rPr>
          <w:rFonts w:cs="Arial"/>
          <w:sz w:val="20"/>
          <w:szCs w:val="20"/>
        </w:rPr>
      </w:pPr>
      <w:r w:rsidRPr="00101651">
        <w:rPr>
          <w:rFonts w:cs="Arial"/>
          <w:sz w:val="20"/>
          <w:szCs w:val="20"/>
        </w:rPr>
        <w:t>6.</w:t>
      </w:r>
      <w:r w:rsidRPr="00101651">
        <w:rPr>
          <w:rFonts w:cs="Arial"/>
          <w:sz w:val="20"/>
          <w:szCs w:val="20"/>
        </w:rPr>
        <w:tab/>
        <w:t>Transparency and Reporting</w:t>
      </w:r>
    </w:p>
    <w:p w:rsidR="00CB2AA7" w:rsidRPr="00101651" w:rsidRDefault="00CB2AA7" w:rsidP="00033E83">
      <w:pPr>
        <w:spacing w:line="300" w:lineRule="exact"/>
        <w:ind w:left="567" w:hanging="567"/>
        <w:rPr>
          <w:rFonts w:cs="Arial"/>
          <w:sz w:val="20"/>
          <w:szCs w:val="20"/>
        </w:rPr>
      </w:pPr>
    </w:p>
    <w:p w:rsidR="00606A97" w:rsidRDefault="00EC2618" w:rsidP="00842DD8">
      <w:pPr>
        <w:spacing w:line="300" w:lineRule="exact"/>
        <w:jc w:val="both"/>
        <w:rPr>
          <w:rFonts w:cs="Arial"/>
          <w:sz w:val="20"/>
          <w:szCs w:val="20"/>
        </w:rPr>
      </w:pPr>
      <w:r w:rsidRPr="00101651">
        <w:rPr>
          <w:rFonts w:cs="Arial"/>
          <w:sz w:val="20"/>
          <w:szCs w:val="20"/>
        </w:rPr>
        <w:t xml:space="preserve">The </w:t>
      </w:r>
      <w:r w:rsidR="00C0490C" w:rsidRPr="00C0490C">
        <w:rPr>
          <w:rFonts w:cs="Arial"/>
          <w:sz w:val="20"/>
          <w:szCs w:val="20"/>
        </w:rPr>
        <w:t>Trustees</w:t>
      </w:r>
      <w:r w:rsidRPr="00101651">
        <w:rPr>
          <w:rFonts w:cs="Arial"/>
          <w:sz w:val="20"/>
          <w:szCs w:val="20"/>
        </w:rPr>
        <w:t xml:space="preserve"> periodically review </w:t>
      </w:r>
      <w:r w:rsidR="00CB2AA7">
        <w:rPr>
          <w:rFonts w:cs="Arial"/>
          <w:sz w:val="20"/>
          <w:szCs w:val="20"/>
        </w:rPr>
        <w:t>their</w:t>
      </w:r>
      <w:r w:rsidR="005C48ED" w:rsidRPr="00101651">
        <w:rPr>
          <w:rFonts w:cs="Arial"/>
          <w:sz w:val="20"/>
          <w:szCs w:val="20"/>
        </w:rPr>
        <w:t xml:space="preserve"> compliance with the best practice Principles. </w:t>
      </w:r>
      <w:r w:rsidR="00613037" w:rsidRPr="00101651">
        <w:rPr>
          <w:rFonts w:cs="Arial"/>
          <w:sz w:val="20"/>
          <w:szCs w:val="20"/>
        </w:rPr>
        <w:t xml:space="preserve"> </w:t>
      </w:r>
      <w:r w:rsidRPr="00101651">
        <w:rPr>
          <w:rFonts w:cs="Arial"/>
          <w:sz w:val="20"/>
          <w:szCs w:val="20"/>
        </w:rPr>
        <w:t xml:space="preserve">The </w:t>
      </w:r>
      <w:r w:rsidR="00C0490C" w:rsidRPr="00C0490C">
        <w:rPr>
          <w:rFonts w:cs="Arial"/>
          <w:sz w:val="20"/>
          <w:szCs w:val="20"/>
        </w:rPr>
        <w:t>Trustees</w:t>
      </w:r>
      <w:r w:rsidR="005C48ED" w:rsidRPr="00101651">
        <w:rPr>
          <w:rFonts w:cs="Arial"/>
          <w:sz w:val="20"/>
          <w:szCs w:val="20"/>
        </w:rPr>
        <w:t xml:space="preserve"> believe</w:t>
      </w:r>
      <w:r w:rsidRPr="00101651">
        <w:rPr>
          <w:rFonts w:cs="Arial"/>
          <w:sz w:val="20"/>
          <w:szCs w:val="20"/>
        </w:rPr>
        <w:t xml:space="preserve"> that </w:t>
      </w:r>
      <w:r w:rsidR="00CB2AA7">
        <w:rPr>
          <w:rFonts w:cs="Arial"/>
          <w:sz w:val="20"/>
          <w:szCs w:val="20"/>
        </w:rPr>
        <w:t>they comply</w:t>
      </w:r>
      <w:r w:rsidR="005C48ED" w:rsidRPr="00101651">
        <w:rPr>
          <w:rFonts w:cs="Arial"/>
          <w:sz w:val="20"/>
          <w:szCs w:val="20"/>
        </w:rPr>
        <w:t xml:space="preserve"> with the spirit of the Principles. </w:t>
      </w:r>
      <w:r w:rsidR="00613037" w:rsidRPr="00101651">
        <w:rPr>
          <w:rFonts w:cs="Arial"/>
          <w:sz w:val="20"/>
          <w:szCs w:val="20"/>
        </w:rPr>
        <w:t xml:space="preserve"> </w:t>
      </w:r>
      <w:r w:rsidR="005C48ED" w:rsidRPr="00101651">
        <w:rPr>
          <w:rFonts w:cs="Arial"/>
          <w:sz w:val="20"/>
          <w:szCs w:val="20"/>
        </w:rPr>
        <w:t xml:space="preserve">There may be some instances of deviation from the published </w:t>
      </w:r>
      <w:r w:rsidR="001270D3" w:rsidRPr="00101651">
        <w:rPr>
          <w:rFonts w:cs="Arial"/>
          <w:sz w:val="20"/>
          <w:szCs w:val="20"/>
        </w:rPr>
        <w:t>‘</w:t>
      </w:r>
      <w:r w:rsidR="005C48ED" w:rsidRPr="00101651">
        <w:rPr>
          <w:rFonts w:cs="Arial"/>
          <w:sz w:val="20"/>
          <w:szCs w:val="20"/>
        </w:rPr>
        <w:t xml:space="preserve">Best Practice Guidance’ on the Principles where the </w:t>
      </w:r>
      <w:r w:rsidR="00C0490C" w:rsidRPr="00C0490C">
        <w:rPr>
          <w:rFonts w:cs="Arial"/>
          <w:sz w:val="20"/>
          <w:szCs w:val="20"/>
        </w:rPr>
        <w:t>Trustees</w:t>
      </w:r>
      <w:r w:rsidR="005C48ED" w:rsidRPr="00101651">
        <w:rPr>
          <w:rFonts w:cs="Arial"/>
          <w:sz w:val="20"/>
          <w:szCs w:val="20"/>
        </w:rPr>
        <w:t xml:space="preserve"> believe this to be justified.</w:t>
      </w:r>
    </w:p>
    <w:p w:rsidR="00A11FB6" w:rsidRDefault="00A11FB6" w:rsidP="00842DD8">
      <w:pPr>
        <w:spacing w:line="300" w:lineRule="exact"/>
        <w:jc w:val="both"/>
        <w:rPr>
          <w:rFonts w:cs="Arial"/>
          <w:sz w:val="20"/>
          <w:szCs w:val="20"/>
        </w:rPr>
      </w:pPr>
    </w:p>
    <w:p w:rsidR="00634CB2" w:rsidRPr="00101651" w:rsidRDefault="00634CB2" w:rsidP="00074143">
      <w:pPr>
        <w:pStyle w:val="ListParagraph"/>
        <w:numPr>
          <w:ilvl w:val="0"/>
          <w:numId w:val="1"/>
        </w:numPr>
        <w:spacing w:line="260" w:lineRule="atLeast"/>
        <w:ind w:left="567" w:hanging="567"/>
        <w:contextualSpacing/>
        <w:rPr>
          <w:color w:val="424FB3"/>
          <w:sz w:val="28"/>
          <w:szCs w:val="28"/>
        </w:rPr>
      </w:pPr>
      <w:r w:rsidRPr="00101651">
        <w:rPr>
          <w:color w:val="424FB3"/>
          <w:sz w:val="28"/>
          <w:szCs w:val="28"/>
        </w:rPr>
        <w:t>Review of this Statement</w:t>
      </w:r>
    </w:p>
    <w:p w:rsidR="005C48ED" w:rsidRPr="00033E83" w:rsidRDefault="005C48ED" w:rsidP="00033E83">
      <w:pPr>
        <w:spacing w:line="300" w:lineRule="exact"/>
        <w:rPr>
          <w:rFonts w:ascii="Gotham Book" w:hAnsi="Gotham Book" w:cs="Calibri"/>
          <w:sz w:val="20"/>
          <w:szCs w:val="20"/>
        </w:rPr>
      </w:pPr>
    </w:p>
    <w:p w:rsidR="005C48ED" w:rsidRPr="00101651" w:rsidRDefault="00EC2618" w:rsidP="00033E83">
      <w:pPr>
        <w:spacing w:line="300" w:lineRule="exact"/>
        <w:jc w:val="both"/>
        <w:rPr>
          <w:rFonts w:cs="Arial"/>
          <w:sz w:val="20"/>
          <w:szCs w:val="20"/>
        </w:rPr>
      </w:pPr>
      <w:r w:rsidRPr="00101651">
        <w:rPr>
          <w:rFonts w:cs="Arial"/>
          <w:sz w:val="20"/>
          <w:szCs w:val="20"/>
        </w:rPr>
        <w:t xml:space="preserve">The </w:t>
      </w:r>
      <w:r w:rsidR="00C0490C" w:rsidRPr="00C0490C">
        <w:rPr>
          <w:rFonts w:cs="Arial"/>
          <w:sz w:val="20"/>
          <w:szCs w:val="20"/>
        </w:rPr>
        <w:t>Trustees</w:t>
      </w:r>
      <w:r w:rsidR="005C48ED" w:rsidRPr="00101651">
        <w:rPr>
          <w:rFonts w:cs="Arial"/>
          <w:sz w:val="20"/>
          <w:szCs w:val="20"/>
        </w:rPr>
        <w:t xml:space="preserve"> will review this Statement at least once every three years and without delay after any significant change in investment policy. </w:t>
      </w:r>
      <w:r w:rsidR="00613037" w:rsidRPr="00101651">
        <w:rPr>
          <w:rFonts w:cs="Arial"/>
          <w:sz w:val="20"/>
          <w:szCs w:val="20"/>
        </w:rPr>
        <w:t xml:space="preserve"> </w:t>
      </w:r>
      <w:r w:rsidR="005C48ED" w:rsidRPr="00101651">
        <w:rPr>
          <w:rFonts w:cs="Arial"/>
          <w:sz w:val="20"/>
          <w:szCs w:val="20"/>
        </w:rPr>
        <w:t>Any change will only be made after having obtained and considered the written ad</w:t>
      </w:r>
      <w:r w:rsidRPr="00101651">
        <w:rPr>
          <w:rFonts w:cs="Arial"/>
          <w:sz w:val="20"/>
          <w:szCs w:val="20"/>
        </w:rPr>
        <w:t xml:space="preserve">vice of someone who the </w:t>
      </w:r>
      <w:r w:rsidR="00C0490C" w:rsidRPr="00C0490C">
        <w:rPr>
          <w:rFonts w:cs="Arial"/>
          <w:sz w:val="20"/>
          <w:szCs w:val="20"/>
        </w:rPr>
        <w:t>Trustees</w:t>
      </w:r>
      <w:r w:rsidR="005C48ED" w:rsidRPr="00101651">
        <w:rPr>
          <w:rFonts w:cs="Arial"/>
          <w:sz w:val="20"/>
          <w:szCs w:val="20"/>
        </w:rPr>
        <w:t xml:space="preserve"> reasonably believe to be qualified by their ability in</w:t>
      </w:r>
      <w:r w:rsidR="00613037" w:rsidRPr="00101651">
        <w:rPr>
          <w:rFonts w:cs="Arial"/>
          <w:sz w:val="20"/>
          <w:szCs w:val="20"/>
        </w:rPr>
        <w:t>,</w:t>
      </w:r>
      <w:r w:rsidR="005C48ED" w:rsidRPr="00101651">
        <w:rPr>
          <w:rFonts w:cs="Arial"/>
          <w:sz w:val="20"/>
          <w:szCs w:val="20"/>
        </w:rPr>
        <w:t xml:space="preserve"> and experience of</w:t>
      </w:r>
      <w:r w:rsidR="00613037" w:rsidRPr="00101651">
        <w:rPr>
          <w:rFonts w:cs="Arial"/>
          <w:sz w:val="20"/>
          <w:szCs w:val="20"/>
        </w:rPr>
        <w:t>,</w:t>
      </w:r>
      <w:r w:rsidR="005C48ED" w:rsidRPr="00101651">
        <w:rPr>
          <w:rFonts w:cs="Arial"/>
          <w:sz w:val="20"/>
          <w:szCs w:val="20"/>
        </w:rPr>
        <w:t xml:space="preserve"> financial matters and to have the appropriate knowledge and experience of the management of pension </w:t>
      </w:r>
      <w:r w:rsidR="005C48ED" w:rsidRPr="00346AF1">
        <w:rPr>
          <w:rFonts w:cs="Arial"/>
          <w:sz w:val="20"/>
          <w:szCs w:val="20"/>
        </w:rPr>
        <w:t>scheme</w:t>
      </w:r>
      <w:r w:rsidR="005C48ED" w:rsidRPr="00101651">
        <w:rPr>
          <w:rFonts w:cs="Arial"/>
          <w:sz w:val="20"/>
          <w:szCs w:val="20"/>
        </w:rPr>
        <w:t xml:space="preserve"> investments.</w:t>
      </w:r>
    </w:p>
    <w:p w:rsidR="005C48ED" w:rsidRPr="00101651" w:rsidRDefault="005C48ED" w:rsidP="00033E83">
      <w:pPr>
        <w:spacing w:line="300" w:lineRule="exact"/>
        <w:rPr>
          <w:rFonts w:cs="Arial"/>
          <w:sz w:val="20"/>
          <w:szCs w:val="20"/>
        </w:rPr>
      </w:pPr>
    </w:p>
    <w:p w:rsidR="005C48ED" w:rsidRPr="00101651" w:rsidRDefault="005C48ED" w:rsidP="00033E83">
      <w:pPr>
        <w:spacing w:line="300" w:lineRule="exact"/>
        <w:rPr>
          <w:rFonts w:cs="Arial"/>
          <w:sz w:val="20"/>
          <w:szCs w:val="20"/>
        </w:rPr>
      </w:pPr>
    </w:p>
    <w:p w:rsidR="005C48ED" w:rsidRPr="00101651" w:rsidRDefault="005C48ED" w:rsidP="00033E83">
      <w:pPr>
        <w:spacing w:line="300" w:lineRule="exact"/>
        <w:rPr>
          <w:rFonts w:cs="Arial"/>
          <w:sz w:val="20"/>
          <w:szCs w:val="20"/>
        </w:rPr>
      </w:pPr>
    </w:p>
    <w:p w:rsidR="005C48ED" w:rsidRPr="00101651" w:rsidRDefault="005C48ED" w:rsidP="00033E83">
      <w:pPr>
        <w:spacing w:line="300" w:lineRule="exact"/>
        <w:rPr>
          <w:rFonts w:cs="Arial"/>
          <w:sz w:val="20"/>
          <w:szCs w:val="20"/>
        </w:rPr>
      </w:pPr>
    </w:p>
    <w:p w:rsidR="005C48ED" w:rsidRPr="00101651" w:rsidRDefault="005C48ED" w:rsidP="00033E83">
      <w:pPr>
        <w:spacing w:line="300" w:lineRule="exact"/>
        <w:rPr>
          <w:rFonts w:cs="Arial"/>
          <w:b/>
          <w:sz w:val="20"/>
          <w:szCs w:val="20"/>
        </w:rPr>
      </w:pPr>
      <w:r w:rsidRPr="00101651">
        <w:rPr>
          <w:rFonts w:cs="Arial"/>
          <w:b/>
          <w:sz w:val="20"/>
          <w:szCs w:val="20"/>
        </w:rPr>
        <w:t>________________________________________</w:t>
      </w:r>
    </w:p>
    <w:p w:rsidR="005C48ED" w:rsidRPr="00101651" w:rsidRDefault="005C48ED" w:rsidP="00033E83">
      <w:pPr>
        <w:spacing w:line="300" w:lineRule="exact"/>
        <w:rPr>
          <w:rFonts w:cs="Arial"/>
          <w:sz w:val="20"/>
          <w:szCs w:val="20"/>
        </w:rPr>
      </w:pPr>
      <w:r w:rsidRPr="00101651">
        <w:rPr>
          <w:rFonts w:cs="Arial"/>
          <w:sz w:val="20"/>
          <w:szCs w:val="20"/>
        </w:rPr>
        <w:t xml:space="preserve">For and </w:t>
      </w:r>
      <w:r w:rsidR="007F07CE" w:rsidRPr="00101651">
        <w:rPr>
          <w:rFonts w:cs="Arial"/>
          <w:sz w:val="20"/>
          <w:szCs w:val="20"/>
        </w:rPr>
        <w:t xml:space="preserve">on </w:t>
      </w:r>
      <w:r w:rsidR="00EC2618" w:rsidRPr="00101651">
        <w:rPr>
          <w:rFonts w:cs="Arial"/>
          <w:sz w:val="20"/>
          <w:szCs w:val="20"/>
        </w:rPr>
        <w:t xml:space="preserve">behalf of </w:t>
      </w:r>
      <w:r w:rsidR="00C0490C">
        <w:rPr>
          <w:rFonts w:cs="Arial"/>
          <w:sz w:val="20"/>
          <w:szCs w:val="20"/>
        </w:rPr>
        <w:t xml:space="preserve">the </w:t>
      </w:r>
      <w:r w:rsidRPr="00101651">
        <w:rPr>
          <w:rFonts w:cs="Arial"/>
          <w:sz w:val="20"/>
          <w:szCs w:val="20"/>
        </w:rPr>
        <w:t>Trustee</w:t>
      </w:r>
      <w:r w:rsidR="00C0490C">
        <w:rPr>
          <w:rFonts w:cs="Arial"/>
          <w:sz w:val="20"/>
          <w:szCs w:val="20"/>
        </w:rPr>
        <w:t>s</w:t>
      </w:r>
      <w:r w:rsidR="00EC2618" w:rsidRPr="00101651">
        <w:rPr>
          <w:rFonts w:cs="Arial"/>
          <w:sz w:val="20"/>
          <w:szCs w:val="20"/>
        </w:rPr>
        <w:t xml:space="preserve"> of the </w:t>
      </w:r>
      <w:r w:rsidR="00170783">
        <w:rPr>
          <w:rFonts w:cs="Arial"/>
          <w:sz w:val="20"/>
          <w:szCs w:val="20"/>
        </w:rPr>
        <w:t xml:space="preserve">St Ann’s </w:t>
      </w:r>
      <w:r w:rsidR="00C54494">
        <w:rPr>
          <w:rFonts w:cs="Arial"/>
          <w:sz w:val="20"/>
          <w:szCs w:val="20"/>
        </w:rPr>
        <w:t xml:space="preserve">Hospice </w:t>
      </w:r>
      <w:r w:rsidR="00170783">
        <w:rPr>
          <w:rFonts w:cs="Arial"/>
          <w:sz w:val="20"/>
          <w:szCs w:val="20"/>
        </w:rPr>
        <w:t>Pension</w:t>
      </w:r>
      <w:r w:rsidR="00903F57">
        <w:rPr>
          <w:rFonts w:cs="Arial"/>
          <w:sz w:val="20"/>
          <w:szCs w:val="20"/>
        </w:rPr>
        <w:t xml:space="preserve"> Scheme</w:t>
      </w:r>
    </w:p>
    <w:p w:rsidR="005C48ED" w:rsidRPr="00101651" w:rsidRDefault="005C48ED" w:rsidP="00033E83">
      <w:pPr>
        <w:spacing w:line="300" w:lineRule="exact"/>
        <w:rPr>
          <w:rFonts w:cs="Arial"/>
          <w:b/>
          <w:sz w:val="20"/>
          <w:szCs w:val="20"/>
        </w:rPr>
      </w:pPr>
    </w:p>
    <w:p w:rsidR="005C48ED" w:rsidRPr="00101651" w:rsidRDefault="005C48ED" w:rsidP="00033E83">
      <w:pPr>
        <w:spacing w:line="300" w:lineRule="exact"/>
        <w:rPr>
          <w:rFonts w:cs="Arial"/>
          <w:b/>
          <w:sz w:val="20"/>
          <w:szCs w:val="20"/>
        </w:rPr>
      </w:pPr>
    </w:p>
    <w:p w:rsidR="005C48ED" w:rsidRPr="00101651" w:rsidRDefault="005C48ED" w:rsidP="00033E83">
      <w:pPr>
        <w:spacing w:line="300" w:lineRule="exact"/>
        <w:rPr>
          <w:rFonts w:cs="Arial"/>
          <w:b/>
          <w:sz w:val="20"/>
          <w:szCs w:val="20"/>
        </w:rPr>
      </w:pPr>
      <w:r w:rsidRPr="00101651">
        <w:rPr>
          <w:rFonts w:cs="Arial"/>
          <w:b/>
          <w:sz w:val="20"/>
          <w:szCs w:val="20"/>
        </w:rPr>
        <w:t>________________________________________</w:t>
      </w:r>
    </w:p>
    <w:p w:rsidR="003550B2" w:rsidRDefault="005C48ED" w:rsidP="00033E83">
      <w:pPr>
        <w:spacing w:line="300" w:lineRule="exact"/>
        <w:rPr>
          <w:rFonts w:ascii="Gotham Book" w:hAnsi="Gotham Book"/>
          <w:sz w:val="20"/>
          <w:szCs w:val="20"/>
        </w:rPr>
      </w:pPr>
      <w:r w:rsidRPr="00101651">
        <w:rPr>
          <w:rFonts w:cs="Arial"/>
          <w:sz w:val="20"/>
          <w:szCs w:val="20"/>
        </w:rPr>
        <w:t>Date</w:t>
      </w:r>
    </w:p>
    <w:p w:rsidR="003550B2" w:rsidRDefault="003550B2" w:rsidP="00033E83">
      <w:pPr>
        <w:spacing w:line="300" w:lineRule="exact"/>
        <w:rPr>
          <w:rFonts w:ascii="Gotham Book" w:hAnsi="Gotham Book"/>
          <w:sz w:val="20"/>
          <w:szCs w:val="20"/>
        </w:rPr>
      </w:pPr>
    </w:p>
    <w:p w:rsidR="003550B2" w:rsidRPr="003550B2" w:rsidRDefault="003550B2" w:rsidP="003550B2">
      <w:pPr>
        <w:pStyle w:val="Heading1"/>
        <w:rPr>
          <w:color w:val="000000" w:themeColor="text1"/>
          <w:sz w:val="28"/>
        </w:rPr>
      </w:pPr>
      <w:r w:rsidRPr="003550B2">
        <w:rPr>
          <w:rFonts w:eastAsia="Calibri"/>
          <w:bCs w:val="0"/>
          <w:color w:val="424FB3"/>
          <w:kern w:val="0"/>
          <w:sz w:val="24"/>
          <w:szCs w:val="28"/>
          <w:lang w:eastAsia="en-GB"/>
        </w:rPr>
        <w:t xml:space="preserve">Appendix to the Statement of Investment Principles </w:t>
      </w:r>
    </w:p>
    <w:p w:rsidR="003550B2" w:rsidRDefault="003550B2" w:rsidP="003550B2">
      <w:pPr>
        <w:pStyle w:val="Heading1"/>
        <w:tabs>
          <w:tab w:val="left" w:pos="3869"/>
        </w:tabs>
        <w:rPr>
          <w:color w:val="5B9BD5" w:themeColor="accent1"/>
          <w:sz w:val="28"/>
          <w:szCs w:val="28"/>
        </w:rPr>
      </w:pPr>
    </w:p>
    <w:p w:rsidR="002C765C" w:rsidRPr="002C765C" w:rsidRDefault="002C765C" w:rsidP="002C765C">
      <w:pPr>
        <w:spacing w:line="260" w:lineRule="atLeast"/>
        <w:jc w:val="both"/>
        <w:rPr>
          <w:rFonts w:cs="Arial"/>
          <w:sz w:val="20"/>
          <w:szCs w:val="20"/>
        </w:rPr>
      </w:pPr>
      <w:r w:rsidRPr="002C765C">
        <w:rPr>
          <w:rFonts w:cs="Arial"/>
          <w:sz w:val="20"/>
          <w:szCs w:val="20"/>
        </w:rPr>
        <w:t>This Appendix sets out the Trustees’ current Investment Policy, and is an integral part of the Trustees’ Statement of Investment Principles (the “Statement”).</w:t>
      </w:r>
    </w:p>
    <w:p w:rsidR="002C765C" w:rsidRPr="002C765C" w:rsidRDefault="002C765C" w:rsidP="002C765C">
      <w:pPr>
        <w:spacing w:line="260" w:lineRule="atLeast"/>
        <w:jc w:val="both"/>
        <w:rPr>
          <w:rFonts w:cs="Arial"/>
          <w:sz w:val="20"/>
          <w:szCs w:val="20"/>
        </w:rPr>
      </w:pPr>
    </w:p>
    <w:p w:rsidR="002C765C" w:rsidRPr="002C765C" w:rsidRDefault="002C765C" w:rsidP="002C765C">
      <w:pPr>
        <w:spacing w:line="260" w:lineRule="atLeast"/>
        <w:jc w:val="both"/>
        <w:rPr>
          <w:rFonts w:cs="Arial"/>
          <w:sz w:val="20"/>
          <w:szCs w:val="20"/>
        </w:rPr>
      </w:pPr>
      <w:r w:rsidRPr="002C765C">
        <w:rPr>
          <w:rFonts w:cs="Arial"/>
          <w:sz w:val="20"/>
          <w:szCs w:val="20"/>
        </w:rPr>
        <w:t>The Trustees’ Investment Policy has been established in order to maximise the likelihood of achieving the primary objectives set out in the Statement. The details are laid out below.</w:t>
      </w:r>
    </w:p>
    <w:p w:rsidR="003550B2" w:rsidRPr="00245729" w:rsidRDefault="003550B2" w:rsidP="003550B2">
      <w:pPr>
        <w:pStyle w:val="Heading1"/>
        <w:tabs>
          <w:tab w:val="left" w:pos="3869"/>
        </w:tabs>
        <w:rPr>
          <w:b w:val="0"/>
          <w:color w:val="5B9BD5" w:themeColor="accent1"/>
          <w:sz w:val="20"/>
          <w:szCs w:val="20"/>
        </w:rPr>
      </w:pPr>
    </w:p>
    <w:p w:rsidR="00903F57" w:rsidRPr="00476735" w:rsidRDefault="00903F57" w:rsidP="00903F57">
      <w:pPr>
        <w:pStyle w:val="MainText"/>
        <w:jc w:val="both"/>
        <w:rPr>
          <w:rFonts w:ascii="Arial" w:hAnsi="Arial" w:cs="Arial"/>
          <w:color w:val="424FB3"/>
          <w:sz w:val="20"/>
        </w:rPr>
      </w:pPr>
      <w:r w:rsidRPr="00476735">
        <w:rPr>
          <w:rFonts w:ascii="Arial" w:hAnsi="Arial" w:cs="Arial"/>
          <w:color w:val="424FB3"/>
          <w:sz w:val="20"/>
        </w:rPr>
        <w:t>Asset Allocation Strategy</w:t>
      </w:r>
    </w:p>
    <w:p w:rsidR="00903F57" w:rsidRPr="005500E2" w:rsidRDefault="00903F57" w:rsidP="00903F57">
      <w:pPr>
        <w:pStyle w:val="MainText"/>
        <w:spacing w:after="360"/>
        <w:jc w:val="both"/>
        <w:rPr>
          <w:rFonts w:ascii="Arial" w:hAnsi="Arial" w:cs="Arial"/>
          <w:color w:val="000000"/>
          <w:sz w:val="20"/>
        </w:rPr>
      </w:pPr>
      <w:r w:rsidRPr="005500E2">
        <w:rPr>
          <w:rFonts w:ascii="Arial" w:hAnsi="Arial" w:cs="Arial"/>
          <w:bCs/>
          <w:color w:val="000000"/>
          <w:sz w:val="20"/>
        </w:rPr>
        <w:t>The table below records the current asset allocatio</w:t>
      </w:r>
      <w:r w:rsidR="00F41F6E">
        <w:rPr>
          <w:rFonts w:ascii="Arial" w:hAnsi="Arial" w:cs="Arial"/>
          <w:bCs/>
          <w:color w:val="000000"/>
          <w:sz w:val="20"/>
        </w:rPr>
        <w:t>n strategy which is centred on the Scheme’s</w:t>
      </w:r>
      <w:r w:rsidRPr="005500E2">
        <w:rPr>
          <w:rFonts w:ascii="Arial" w:hAnsi="Arial" w:cs="Arial"/>
          <w:bCs/>
          <w:color w:val="000000"/>
          <w:sz w:val="20"/>
        </w:rPr>
        <w:t xml:space="preserve"> long term strategy.  </w:t>
      </w:r>
      <w:r w:rsidR="00637DC2">
        <w:rPr>
          <w:rFonts w:ascii="Arial" w:hAnsi="Arial" w:cs="Arial"/>
          <w:bCs/>
          <w:color w:val="000000"/>
          <w:sz w:val="20"/>
        </w:rPr>
        <w:t>This is achieved by investing in several pooled investment funds.</w:t>
      </w:r>
    </w:p>
    <w:tbl>
      <w:tblPr>
        <w:tblStyle w:val="ListTable3-Accent5"/>
        <w:tblW w:w="8615" w:type="dxa"/>
        <w:tblLook w:val="04A0" w:firstRow="1" w:lastRow="0" w:firstColumn="1" w:lastColumn="0" w:noHBand="0" w:noVBand="1"/>
      </w:tblPr>
      <w:tblGrid>
        <w:gridCol w:w="4957"/>
        <w:gridCol w:w="3658"/>
      </w:tblGrid>
      <w:tr w:rsidR="00170783" w:rsidRPr="00FE2136" w:rsidTr="00170783">
        <w:trPr>
          <w:cnfStyle w:val="100000000000" w:firstRow="1" w:lastRow="0" w:firstColumn="0" w:lastColumn="0" w:oddVBand="0" w:evenVBand="0" w:oddHBand="0" w:evenHBand="0" w:firstRowFirstColumn="0" w:firstRowLastColumn="0" w:lastRowFirstColumn="0" w:lastRowLastColumn="0"/>
          <w:trHeight w:val="383"/>
        </w:trPr>
        <w:tc>
          <w:tcPr>
            <w:cnfStyle w:val="001000000100" w:firstRow="0" w:lastRow="0" w:firstColumn="1" w:lastColumn="0" w:oddVBand="0" w:evenVBand="0" w:oddHBand="0" w:evenHBand="0" w:firstRowFirstColumn="1" w:firstRowLastColumn="0" w:lastRowFirstColumn="0" w:lastRowLastColumn="0"/>
            <w:tcW w:w="4957" w:type="dxa"/>
          </w:tcPr>
          <w:p w:rsidR="00170783" w:rsidRPr="00EC0A7C" w:rsidRDefault="00170783" w:rsidP="002E4B03">
            <w:pPr>
              <w:spacing w:before="60" w:after="60" w:line="300" w:lineRule="exact"/>
              <w:rPr>
                <w:rFonts w:cs="Arial"/>
                <w:sz w:val="20"/>
                <w:szCs w:val="20"/>
              </w:rPr>
            </w:pPr>
            <w:r w:rsidRPr="00EC0A7C">
              <w:rPr>
                <w:rFonts w:cs="Arial"/>
                <w:sz w:val="20"/>
                <w:szCs w:val="20"/>
              </w:rPr>
              <w:t>Asset Class</w:t>
            </w:r>
          </w:p>
        </w:tc>
        <w:tc>
          <w:tcPr>
            <w:tcW w:w="3658" w:type="dxa"/>
          </w:tcPr>
          <w:p w:rsidR="00170783" w:rsidRPr="00EC0A7C" w:rsidRDefault="00170783" w:rsidP="002E4B03">
            <w:pPr>
              <w:spacing w:before="60" w:after="60" w:line="300" w:lineRule="exact"/>
              <w:cnfStyle w:val="100000000000" w:firstRow="1" w:lastRow="0" w:firstColumn="0" w:lastColumn="0" w:oddVBand="0" w:evenVBand="0" w:oddHBand="0" w:evenHBand="0" w:firstRowFirstColumn="0" w:firstRowLastColumn="0" w:lastRowFirstColumn="0" w:lastRowLastColumn="0"/>
              <w:rPr>
                <w:rFonts w:cs="Arial"/>
                <w:sz w:val="20"/>
                <w:szCs w:val="20"/>
              </w:rPr>
            </w:pPr>
            <w:r w:rsidRPr="00EC0A7C">
              <w:rPr>
                <w:rFonts w:cs="Arial"/>
                <w:sz w:val="20"/>
                <w:szCs w:val="20"/>
              </w:rPr>
              <w:t>Benchmark Weighting</w:t>
            </w:r>
          </w:p>
        </w:tc>
      </w:tr>
      <w:tr w:rsidR="00170783" w:rsidRPr="00FE2136" w:rsidTr="00170783">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957" w:type="dxa"/>
          </w:tcPr>
          <w:p w:rsidR="00170783" w:rsidRPr="00DE2C8E" w:rsidRDefault="00170783" w:rsidP="002E4B03">
            <w:pPr>
              <w:spacing w:before="60" w:after="60" w:line="300" w:lineRule="exact"/>
              <w:rPr>
                <w:rFonts w:cs="Arial"/>
                <w:b w:val="0"/>
                <w:sz w:val="20"/>
                <w:szCs w:val="20"/>
              </w:rPr>
            </w:pPr>
            <w:r w:rsidRPr="00DE2C8E">
              <w:rPr>
                <w:rFonts w:cs="Arial"/>
                <w:b w:val="0"/>
                <w:sz w:val="20"/>
                <w:szCs w:val="20"/>
              </w:rPr>
              <w:t>UK Equity</w:t>
            </w:r>
          </w:p>
        </w:tc>
        <w:tc>
          <w:tcPr>
            <w:tcW w:w="3658" w:type="dxa"/>
          </w:tcPr>
          <w:p w:rsidR="00170783" w:rsidRPr="00DE2C8E" w:rsidRDefault="00170783" w:rsidP="002E4B03">
            <w:pPr>
              <w:spacing w:before="60" w:after="60" w:line="300" w:lineRule="exact"/>
              <w:ind w:right="-137"/>
              <w:cnfStyle w:val="000000100000" w:firstRow="0" w:lastRow="0" w:firstColumn="0" w:lastColumn="0" w:oddVBand="0" w:evenVBand="0" w:oddHBand="1" w:evenHBand="0" w:firstRowFirstColumn="0" w:firstRowLastColumn="0" w:lastRowFirstColumn="0" w:lastRowLastColumn="0"/>
              <w:rPr>
                <w:rFonts w:cs="Arial"/>
                <w:sz w:val="20"/>
                <w:szCs w:val="20"/>
              </w:rPr>
            </w:pPr>
            <w:r w:rsidRPr="00DE2C8E">
              <w:rPr>
                <w:rFonts w:cs="Arial"/>
                <w:sz w:val="20"/>
                <w:szCs w:val="20"/>
              </w:rPr>
              <w:t>30%</w:t>
            </w:r>
          </w:p>
        </w:tc>
      </w:tr>
      <w:tr w:rsidR="00170783" w:rsidRPr="00FE2136" w:rsidTr="00170783">
        <w:trPr>
          <w:trHeight w:val="393"/>
        </w:trPr>
        <w:tc>
          <w:tcPr>
            <w:cnfStyle w:val="001000000000" w:firstRow="0" w:lastRow="0" w:firstColumn="1" w:lastColumn="0" w:oddVBand="0" w:evenVBand="0" w:oddHBand="0" w:evenHBand="0" w:firstRowFirstColumn="0" w:firstRowLastColumn="0" w:lastRowFirstColumn="0" w:lastRowLastColumn="0"/>
            <w:tcW w:w="4957" w:type="dxa"/>
          </w:tcPr>
          <w:p w:rsidR="00170783" w:rsidRPr="00DE2C8E" w:rsidRDefault="00170783" w:rsidP="002E4B03">
            <w:pPr>
              <w:spacing w:before="60" w:after="60" w:line="300" w:lineRule="exact"/>
              <w:rPr>
                <w:rFonts w:cs="Arial"/>
                <w:b w:val="0"/>
                <w:sz w:val="20"/>
                <w:szCs w:val="20"/>
              </w:rPr>
            </w:pPr>
            <w:r w:rsidRPr="00DE2C8E">
              <w:rPr>
                <w:rFonts w:cs="Arial"/>
                <w:b w:val="0"/>
                <w:sz w:val="20"/>
                <w:szCs w:val="20"/>
              </w:rPr>
              <w:t>Global Equity</w:t>
            </w:r>
          </w:p>
        </w:tc>
        <w:tc>
          <w:tcPr>
            <w:tcW w:w="3658" w:type="dxa"/>
          </w:tcPr>
          <w:p w:rsidR="00170783" w:rsidRPr="00DE2C8E" w:rsidRDefault="00170783" w:rsidP="002E4B03">
            <w:pPr>
              <w:spacing w:before="60" w:after="60" w:line="300" w:lineRule="exact"/>
              <w:ind w:right="-137"/>
              <w:cnfStyle w:val="000000000000" w:firstRow="0" w:lastRow="0" w:firstColumn="0" w:lastColumn="0" w:oddVBand="0" w:evenVBand="0" w:oddHBand="0" w:evenHBand="0" w:firstRowFirstColumn="0" w:firstRowLastColumn="0" w:lastRowFirstColumn="0" w:lastRowLastColumn="0"/>
              <w:rPr>
                <w:rFonts w:cs="Arial"/>
                <w:sz w:val="20"/>
                <w:szCs w:val="20"/>
              </w:rPr>
            </w:pPr>
            <w:r w:rsidRPr="00DE2C8E">
              <w:rPr>
                <w:rFonts w:cs="Arial"/>
                <w:sz w:val="20"/>
                <w:szCs w:val="20"/>
              </w:rPr>
              <w:t>30%</w:t>
            </w:r>
          </w:p>
        </w:tc>
      </w:tr>
      <w:tr w:rsidR="00170783" w:rsidRPr="00FE2136" w:rsidTr="00170783">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957" w:type="dxa"/>
          </w:tcPr>
          <w:p w:rsidR="00170783" w:rsidRPr="00DE2C8E" w:rsidRDefault="00170783" w:rsidP="002E4B03">
            <w:pPr>
              <w:spacing w:before="60" w:after="60" w:line="300" w:lineRule="exact"/>
              <w:rPr>
                <w:rFonts w:cs="Arial"/>
                <w:b w:val="0"/>
                <w:sz w:val="20"/>
                <w:szCs w:val="20"/>
              </w:rPr>
            </w:pPr>
            <w:r w:rsidRPr="00DE2C8E">
              <w:rPr>
                <w:rFonts w:cs="Arial"/>
                <w:b w:val="0"/>
                <w:sz w:val="20"/>
                <w:szCs w:val="20"/>
              </w:rPr>
              <w:t>Gilts and Bonds</w:t>
            </w:r>
          </w:p>
        </w:tc>
        <w:tc>
          <w:tcPr>
            <w:tcW w:w="3658" w:type="dxa"/>
          </w:tcPr>
          <w:p w:rsidR="00170783" w:rsidRPr="00DE2C8E" w:rsidRDefault="00170783" w:rsidP="002E4B03">
            <w:pPr>
              <w:spacing w:before="60" w:after="60" w:line="300" w:lineRule="exact"/>
              <w:ind w:right="-137"/>
              <w:cnfStyle w:val="000000100000" w:firstRow="0" w:lastRow="0" w:firstColumn="0" w:lastColumn="0" w:oddVBand="0" w:evenVBand="0" w:oddHBand="1" w:evenHBand="0" w:firstRowFirstColumn="0" w:firstRowLastColumn="0" w:lastRowFirstColumn="0" w:lastRowLastColumn="0"/>
              <w:rPr>
                <w:rFonts w:cs="Arial"/>
                <w:sz w:val="20"/>
                <w:szCs w:val="20"/>
              </w:rPr>
            </w:pPr>
            <w:r w:rsidRPr="00DE2C8E">
              <w:rPr>
                <w:rFonts w:cs="Arial"/>
                <w:sz w:val="20"/>
                <w:szCs w:val="20"/>
              </w:rPr>
              <w:t>20%</w:t>
            </w:r>
          </w:p>
        </w:tc>
      </w:tr>
      <w:tr w:rsidR="00170783" w:rsidRPr="00FE2136" w:rsidTr="00170783">
        <w:trPr>
          <w:trHeight w:val="393"/>
        </w:trPr>
        <w:tc>
          <w:tcPr>
            <w:cnfStyle w:val="001000000000" w:firstRow="0" w:lastRow="0" w:firstColumn="1" w:lastColumn="0" w:oddVBand="0" w:evenVBand="0" w:oddHBand="0" w:evenHBand="0" w:firstRowFirstColumn="0" w:firstRowLastColumn="0" w:lastRowFirstColumn="0" w:lastRowLastColumn="0"/>
            <w:tcW w:w="4957" w:type="dxa"/>
          </w:tcPr>
          <w:p w:rsidR="00170783" w:rsidRPr="00DE2C8E" w:rsidRDefault="00170783" w:rsidP="002E4B03">
            <w:pPr>
              <w:spacing w:before="60" w:after="60" w:line="300" w:lineRule="exact"/>
              <w:rPr>
                <w:rFonts w:cs="Arial"/>
                <w:b w:val="0"/>
                <w:sz w:val="20"/>
                <w:szCs w:val="20"/>
              </w:rPr>
            </w:pPr>
            <w:r w:rsidRPr="00DE2C8E">
              <w:rPr>
                <w:rFonts w:cs="Arial"/>
                <w:b w:val="0"/>
                <w:sz w:val="20"/>
                <w:szCs w:val="20"/>
              </w:rPr>
              <w:t>Alternatives</w:t>
            </w:r>
          </w:p>
        </w:tc>
        <w:tc>
          <w:tcPr>
            <w:tcW w:w="3658" w:type="dxa"/>
          </w:tcPr>
          <w:p w:rsidR="00170783" w:rsidRPr="00DE2C8E" w:rsidRDefault="00170783" w:rsidP="002E4B03">
            <w:pPr>
              <w:spacing w:before="60" w:after="60" w:line="300" w:lineRule="exact"/>
              <w:ind w:right="-137"/>
              <w:cnfStyle w:val="000000000000" w:firstRow="0" w:lastRow="0" w:firstColumn="0" w:lastColumn="0" w:oddVBand="0" w:evenVBand="0" w:oddHBand="0" w:evenHBand="0" w:firstRowFirstColumn="0" w:firstRowLastColumn="0" w:lastRowFirstColumn="0" w:lastRowLastColumn="0"/>
              <w:rPr>
                <w:rFonts w:cs="Arial"/>
                <w:sz w:val="20"/>
                <w:szCs w:val="20"/>
              </w:rPr>
            </w:pPr>
            <w:r w:rsidRPr="00DE2C8E">
              <w:rPr>
                <w:rFonts w:cs="Arial"/>
                <w:sz w:val="20"/>
                <w:szCs w:val="20"/>
              </w:rPr>
              <w:t>15%</w:t>
            </w:r>
          </w:p>
        </w:tc>
      </w:tr>
      <w:tr w:rsidR="00170783" w:rsidRPr="00FE2136" w:rsidTr="00170783">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957" w:type="dxa"/>
          </w:tcPr>
          <w:p w:rsidR="00170783" w:rsidRPr="00DE2C8E" w:rsidRDefault="00170783" w:rsidP="00170783">
            <w:pPr>
              <w:spacing w:before="60" w:after="60" w:line="300" w:lineRule="exact"/>
              <w:rPr>
                <w:rFonts w:cs="Arial"/>
                <w:b w:val="0"/>
                <w:sz w:val="20"/>
                <w:szCs w:val="20"/>
              </w:rPr>
            </w:pPr>
            <w:r w:rsidRPr="00DE2C8E">
              <w:rPr>
                <w:rFonts w:cs="Arial"/>
                <w:b w:val="0"/>
                <w:sz w:val="20"/>
                <w:szCs w:val="20"/>
              </w:rPr>
              <w:t>Cash</w:t>
            </w:r>
          </w:p>
        </w:tc>
        <w:tc>
          <w:tcPr>
            <w:tcW w:w="3658" w:type="dxa"/>
          </w:tcPr>
          <w:p w:rsidR="00170783" w:rsidRPr="00DE2C8E" w:rsidRDefault="00170783" w:rsidP="002E4B03">
            <w:pPr>
              <w:spacing w:before="60" w:after="60" w:line="300" w:lineRule="exact"/>
              <w:ind w:right="-137"/>
              <w:cnfStyle w:val="000000100000" w:firstRow="0" w:lastRow="0" w:firstColumn="0" w:lastColumn="0" w:oddVBand="0" w:evenVBand="0" w:oddHBand="1" w:evenHBand="0" w:firstRowFirstColumn="0" w:firstRowLastColumn="0" w:lastRowFirstColumn="0" w:lastRowLastColumn="0"/>
              <w:rPr>
                <w:rFonts w:cs="Arial"/>
                <w:sz w:val="20"/>
                <w:szCs w:val="20"/>
              </w:rPr>
            </w:pPr>
            <w:r w:rsidRPr="00DE2C8E">
              <w:rPr>
                <w:rFonts w:cs="Arial"/>
                <w:sz w:val="20"/>
                <w:szCs w:val="20"/>
              </w:rPr>
              <w:t>5%</w:t>
            </w:r>
          </w:p>
        </w:tc>
      </w:tr>
      <w:tr w:rsidR="00170783" w:rsidRPr="00FE2136" w:rsidTr="00170783">
        <w:trPr>
          <w:trHeight w:val="383"/>
        </w:trPr>
        <w:tc>
          <w:tcPr>
            <w:cnfStyle w:val="001000000000" w:firstRow="0" w:lastRow="0" w:firstColumn="1" w:lastColumn="0" w:oddVBand="0" w:evenVBand="0" w:oddHBand="0" w:evenHBand="0" w:firstRowFirstColumn="0" w:firstRowLastColumn="0" w:lastRowFirstColumn="0" w:lastRowLastColumn="0"/>
            <w:tcW w:w="4957" w:type="dxa"/>
          </w:tcPr>
          <w:p w:rsidR="00170783" w:rsidRPr="00A933AD" w:rsidRDefault="00170783" w:rsidP="002E4B03">
            <w:pPr>
              <w:spacing w:before="60" w:after="60" w:line="300" w:lineRule="exact"/>
              <w:rPr>
                <w:rFonts w:cs="Arial"/>
                <w:b w:val="0"/>
                <w:sz w:val="20"/>
                <w:szCs w:val="20"/>
              </w:rPr>
            </w:pPr>
            <w:r w:rsidRPr="00A933AD">
              <w:rPr>
                <w:rFonts w:cs="Arial"/>
                <w:sz w:val="20"/>
                <w:szCs w:val="20"/>
              </w:rPr>
              <w:t>Total</w:t>
            </w:r>
          </w:p>
        </w:tc>
        <w:tc>
          <w:tcPr>
            <w:tcW w:w="3658" w:type="dxa"/>
          </w:tcPr>
          <w:p w:rsidR="00170783" w:rsidRPr="00A933AD" w:rsidRDefault="00170783" w:rsidP="002E4B03">
            <w:pPr>
              <w:spacing w:before="60" w:after="60" w:line="300" w:lineRule="exact"/>
              <w:ind w:right="-137"/>
              <w:cnfStyle w:val="000000000000" w:firstRow="0" w:lastRow="0" w:firstColumn="0" w:lastColumn="0" w:oddVBand="0" w:evenVBand="0" w:oddHBand="0" w:evenHBand="0" w:firstRowFirstColumn="0" w:firstRowLastColumn="0" w:lastRowFirstColumn="0" w:lastRowLastColumn="0"/>
              <w:rPr>
                <w:rFonts w:cs="Arial"/>
                <w:b/>
                <w:sz w:val="20"/>
                <w:szCs w:val="20"/>
              </w:rPr>
            </w:pPr>
            <w:r w:rsidRPr="00A933AD">
              <w:rPr>
                <w:rFonts w:cs="Arial"/>
                <w:b/>
                <w:sz w:val="20"/>
                <w:szCs w:val="20"/>
              </w:rPr>
              <w:t>100%</w:t>
            </w:r>
          </w:p>
        </w:tc>
      </w:tr>
    </w:tbl>
    <w:p w:rsidR="00903F57" w:rsidRPr="005500E2" w:rsidRDefault="00903F57" w:rsidP="00903F57">
      <w:pPr>
        <w:pStyle w:val="MainText"/>
        <w:jc w:val="both"/>
        <w:rPr>
          <w:rFonts w:ascii="Arial" w:hAnsi="Arial" w:cs="Arial"/>
          <w:color w:val="000000"/>
          <w:sz w:val="20"/>
        </w:rPr>
      </w:pPr>
    </w:p>
    <w:p w:rsidR="00903F57" w:rsidRPr="005500E2" w:rsidRDefault="00903F57" w:rsidP="00903F57">
      <w:pPr>
        <w:pStyle w:val="MainText"/>
        <w:jc w:val="both"/>
        <w:rPr>
          <w:rFonts w:ascii="Arial" w:hAnsi="Arial" w:cs="Arial"/>
          <w:color w:val="000000"/>
          <w:sz w:val="20"/>
        </w:rPr>
      </w:pPr>
      <w:r w:rsidRPr="005500E2">
        <w:rPr>
          <w:rFonts w:ascii="Arial" w:hAnsi="Arial" w:cs="Arial"/>
          <w:color w:val="000000"/>
          <w:sz w:val="20"/>
        </w:rPr>
        <w:t xml:space="preserve">The Trustees do not currently have an active policy on the permitted ranges for the assets choosing instead to monitor the overall Scheme asset allocation over time and take any action where necessary. </w:t>
      </w:r>
      <w:r w:rsidR="00170783">
        <w:rPr>
          <w:rFonts w:ascii="Arial" w:hAnsi="Arial" w:cs="Arial"/>
          <w:color w:val="000000"/>
          <w:sz w:val="20"/>
        </w:rPr>
        <w:t>However, the expectation is that the fund will be in the region of the weightings above and rebalancing will be considered as necessary.</w:t>
      </w:r>
      <w:r w:rsidRPr="005500E2">
        <w:rPr>
          <w:rFonts w:ascii="Arial" w:hAnsi="Arial" w:cs="Arial"/>
          <w:color w:val="000000"/>
          <w:sz w:val="20"/>
        </w:rPr>
        <w:t xml:space="preserve"> </w:t>
      </w:r>
    </w:p>
    <w:p w:rsidR="00170783" w:rsidRPr="00476735" w:rsidRDefault="00170783" w:rsidP="00170783">
      <w:pPr>
        <w:pStyle w:val="MainText"/>
        <w:jc w:val="both"/>
        <w:rPr>
          <w:rFonts w:ascii="Arial" w:hAnsi="Arial" w:cs="Arial"/>
          <w:color w:val="424FB3"/>
          <w:sz w:val="20"/>
        </w:rPr>
      </w:pPr>
      <w:r>
        <w:rPr>
          <w:rFonts w:ascii="Arial" w:hAnsi="Arial" w:cs="Arial"/>
          <w:color w:val="424FB3"/>
          <w:sz w:val="20"/>
        </w:rPr>
        <w:t>Fund Manager Mandates</w:t>
      </w:r>
    </w:p>
    <w:p w:rsidR="00170783" w:rsidRDefault="00170783" w:rsidP="00170783">
      <w:pPr>
        <w:pStyle w:val="MainText"/>
        <w:spacing w:after="360"/>
        <w:jc w:val="both"/>
        <w:rPr>
          <w:rFonts w:ascii="Arial" w:hAnsi="Arial" w:cs="Arial"/>
          <w:bCs/>
          <w:color w:val="000000"/>
          <w:sz w:val="20"/>
        </w:rPr>
      </w:pPr>
      <w:r w:rsidRPr="005500E2">
        <w:rPr>
          <w:rFonts w:ascii="Arial" w:hAnsi="Arial" w:cs="Arial"/>
          <w:bCs/>
          <w:color w:val="000000"/>
          <w:sz w:val="20"/>
        </w:rPr>
        <w:t xml:space="preserve">The </w:t>
      </w:r>
      <w:r>
        <w:rPr>
          <w:rFonts w:ascii="Arial" w:hAnsi="Arial" w:cs="Arial"/>
          <w:bCs/>
          <w:color w:val="000000"/>
          <w:sz w:val="20"/>
        </w:rPr>
        <w:t>individual mandates for each investment manager are broadly split as follows:</w:t>
      </w:r>
    </w:p>
    <w:tbl>
      <w:tblPr>
        <w:tblStyle w:val="ListTable3-Accent5"/>
        <w:tblW w:w="8615" w:type="dxa"/>
        <w:tblLook w:val="04A0" w:firstRow="1" w:lastRow="0" w:firstColumn="1" w:lastColumn="0" w:noHBand="0" w:noVBand="1"/>
      </w:tblPr>
      <w:tblGrid>
        <w:gridCol w:w="4957"/>
        <w:gridCol w:w="3658"/>
      </w:tblGrid>
      <w:tr w:rsidR="00170783" w:rsidRPr="00FE2136" w:rsidTr="00F414AA">
        <w:trPr>
          <w:cnfStyle w:val="100000000000" w:firstRow="1" w:lastRow="0" w:firstColumn="0" w:lastColumn="0" w:oddVBand="0" w:evenVBand="0" w:oddHBand="0" w:evenHBand="0" w:firstRowFirstColumn="0" w:firstRowLastColumn="0" w:lastRowFirstColumn="0" w:lastRowLastColumn="0"/>
          <w:trHeight w:val="383"/>
        </w:trPr>
        <w:tc>
          <w:tcPr>
            <w:cnfStyle w:val="001000000100" w:firstRow="0" w:lastRow="0" w:firstColumn="1" w:lastColumn="0" w:oddVBand="0" w:evenVBand="0" w:oddHBand="0" w:evenHBand="0" w:firstRowFirstColumn="1" w:firstRowLastColumn="0" w:lastRowFirstColumn="0" w:lastRowLastColumn="0"/>
            <w:tcW w:w="4957" w:type="dxa"/>
          </w:tcPr>
          <w:p w:rsidR="00170783" w:rsidRPr="00EC0A7C" w:rsidRDefault="00170783" w:rsidP="00F414AA">
            <w:pPr>
              <w:spacing w:before="60" w:after="60" w:line="300" w:lineRule="exact"/>
              <w:rPr>
                <w:rFonts w:cs="Arial"/>
                <w:sz w:val="20"/>
                <w:szCs w:val="20"/>
              </w:rPr>
            </w:pPr>
            <w:r>
              <w:rPr>
                <w:rFonts w:cs="Arial"/>
                <w:sz w:val="20"/>
                <w:szCs w:val="20"/>
              </w:rPr>
              <w:t>Investment Manager</w:t>
            </w:r>
          </w:p>
        </w:tc>
        <w:tc>
          <w:tcPr>
            <w:tcW w:w="3658" w:type="dxa"/>
          </w:tcPr>
          <w:p w:rsidR="00170783" w:rsidRPr="00EC0A7C" w:rsidRDefault="00170783" w:rsidP="00F414AA">
            <w:pPr>
              <w:spacing w:before="60" w:after="60" w:line="300" w:lineRule="exact"/>
              <w:cnfStyle w:val="100000000000" w:firstRow="1" w:lastRow="0" w:firstColumn="0" w:lastColumn="0" w:oddVBand="0" w:evenVBand="0" w:oddHBand="0" w:evenHBand="0" w:firstRowFirstColumn="0" w:firstRowLastColumn="0" w:lastRowFirstColumn="0" w:lastRowLastColumn="0"/>
              <w:rPr>
                <w:rFonts w:cs="Arial"/>
                <w:sz w:val="20"/>
                <w:szCs w:val="20"/>
              </w:rPr>
            </w:pPr>
            <w:r w:rsidRPr="00EC0A7C">
              <w:rPr>
                <w:rFonts w:cs="Arial"/>
                <w:sz w:val="20"/>
                <w:szCs w:val="20"/>
              </w:rPr>
              <w:t>Benchmark Weighting</w:t>
            </w:r>
          </w:p>
        </w:tc>
      </w:tr>
      <w:tr w:rsidR="00170783" w:rsidRPr="00FE2136" w:rsidTr="00F414A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957" w:type="dxa"/>
          </w:tcPr>
          <w:p w:rsidR="00170783" w:rsidRPr="00DE2C8E" w:rsidRDefault="00170783" w:rsidP="00F414AA">
            <w:pPr>
              <w:spacing w:before="60" w:after="60" w:line="300" w:lineRule="exact"/>
              <w:rPr>
                <w:rFonts w:cs="Arial"/>
                <w:b w:val="0"/>
                <w:sz w:val="20"/>
                <w:szCs w:val="20"/>
              </w:rPr>
            </w:pPr>
            <w:r w:rsidRPr="00DE2C8E">
              <w:rPr>
                <w:rFonts w:cs="Arial"/>
                <w:b w:val="0"/>
                <w:sz w:val="20"/>
                <w:szCs w:val="20"/>
              </w:rPr>
              <w:t>Smith &amp; Williamson Bespoke Mandate</w:t>
            </w:r>
          </w:p>
        </w:tc>
        <w:tc>
          <w:tcPr>
            <w:tcW w:w="3658" w:type="dxa"/>
          </w:tcPr>
          <w:p w:rsidR="00170783" w:rsidRPr="00DE2C8E" w:rsidRDefault="00170783" w:rsidP="00F414AA">
            <w:pPr>
              <w:spacing w:before="60" w:after="60" w:line="300" w:lineRule="exact"/>
              <w:ind w:right="-137"/>
              <w:cnfStyle w:val="000000100000" w:firstRow="0" w:lastRow="0" w:firstColumn="0" w:lastColumn="0" w:oddVBand="0" w:evenVBand="0" w:oddHBand="1" w:evenHBand="0" w:firstRowFirstColumn="0" w:firstRowLastColumn="0" w:lastRowFirstColumn="0" w:lastRowLastColumn="0"/>
              <w:rPr>
                <w:rFonts w:cs="Arial"/>
                <w:sz w:val="20"/>
                <w:szCs w:val="20"/>
              </w:rPr>
            </w:pPr>
            <w:r w:rsidRPr="00DE2C8E">
              <w:rPr>
                <w:rFonts w:cs="Arial"/>
                <w:sz w:val="20"/>
                <w:szCs w:val="20"/>
              </w:rPr>
              <w:t>50%</w:t>
            </w:r>
          </w:p>
        </w:tc>
      </w:tr>
      <w:tr w:rsidR="00170783" w:rsidRPr="00FE2136" w:rsidTr="00F414AA">
        <w:trPr>
          <w:trHeight w:val="393"/>
        </w:trPr>
        <w:tc>
          <w:tcPr>
            <w:cnfStyle w:val="001000000000" w:firstRow="0" w:lastRow="0" w:firstColumn="1" w:lastColumn="0" w:oddVBand="0" w:evenVBand="0" w:oddHBand="0" w:evenHBand="0" w:firstRowFirstColumn="0" w:firstRowLastColumn="0" w:lastRowFirstColumn="0" w:lastRowLastColumn="0"/>
            <w:tcW w:w="4957" w:type="dxa"/>
          </w:tcPr>
          <w:p w:rsidR="00170783" w:rsidRPr="00DE2C8E" w:rsidRDefault="00170783" w:rsidP="00F414AA">
            <w:pPr>
              <w:spacing w:before="60" w:after="60" w:line="300" w:lineRule="exact"/>
              <w:rPr>
                <w:rFonts w:cs="Arial"/>
                <w:b w:val="0"/>
                <w:sz w:val="20"/>
                <w:szCs w:val="20"/>
              </w:rPr>
            </w:pPr>
            <w:r w:rsidRPr="00DE2C8E">
              <w:rPr>
                <w:rFonts w:cs="Arial"/>
                <w:b w:val="0"/>
                <w:sz w:val="20"/>
                <w:szCs w:val="20"/>
              </w:rPr>
              <w:t>Investec Bespoke Mandate</w:t>
            </w:r>
          </w:p>
        </w:tc>
        <w:tc>
          <w:tcPr>
            <w:tcW w:w="3658" w:type="dxa"/>
          </w:tcPr>
          <w:p w:rsidR="00170783" w:rsidRPr="00DE2C8E" w:rsidRDefault="00170783" w:rsidP="00F414AA">
            <w:pPr>
              <w:spacing w:before="60" w:after="60" w:line="300" w:lineRule="exact"/>
              <w:ind w:right="-137"/>
              <w:cnfStyle w:val="000000000000" w:firstRow="0" w:lastRow="0" w:firstColumn="0" w:lastColumn="0" w:oddVBand="0" w:evenVBand="0" w:oddHBand="0" w:evenHBand="0" w:firstRowFirstColumn="0" w:firstRowLastColumn="0" w:lastRowFirstColumn="0" w:lastRowLastColumn="0"/>
              <w:rPr>
                <w:rFonts w:cs="Arial"/>
                <w:sz w:val="20"/>
                <w:szCs w:val="20"/>
              </w:rPr>
            </w:pPr>
            <w:r w:rsidRPr="00DE2C8E">
              <w:rPr>
                <w:rFonts w:cs="Arial"/>
                <w:sz w:val="20"/>
                <w:szCs w:val="20"/>
              </w:rPr>
              <w:t>50%</w:t>
            </w:r>
          </w:p>
        </w:tc>
      </w:tr>
      <w:tr w:rsidR="00170783" w:rsidRPr="00FE2136" w:rsidTr="00F414A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957" w:type="dxa"/>
          </w:tcPr>
          <w:p w:rsidR="00170783" w:rsidRPr="00A933AD" w:rsidRDefault="00170783" w:rsidP="00F414AA">
            <w:pPr>
              <w:spacing w:before="60" w:after="60" w:line="300" w:lineRule="exact"/>
              <w:rPr>
                <w:rFonts w:cs="Arial"/>
                <w:b w:val="0"/>
                <w:sz w:val="20"/>
                <w:szCs w:val="20"/>
              </w:rPr>
            </w:pPr>
            <w:r w:rsidRPr="00A933AD">
              <w:rPr>
                <w:rFonts w:cs="Arial"/>
                <w:sz w:val="20"/>
                <w:szCs w:val="20"/>
              </w:rPr>
              <w:t>Total</w:t>
            </w:r>
          </w:p>
        </w:tc>
        <w:tc>
          <w:tcPr>
            <w:tcW w:w="3658" w:type="dxa"/>
          </w:tcPr>
          <w:p w:rsidR="00170783" w:rsidRPr="00A933AD" w:rsidRDefault="00170783" w:rsidP="00F414AA">
            <w:pPr>
              <w:spacing w:before="60" w:after="60" w:line="300" w:lineRule="exact"/>
              <w:ind w:right="-137"/>
              <w:cnfStyle w:val="000000100000" w:firstRow="0" w:lastRow="0" w:firstColumn="0" w:lastColumn="0" w:oddVBand="0" w:evenVBand="0" w:oddHBand="1" w:evenHBand="0" w:firstRowFirstColumn="0" w:firstRowLastColumn="0" w:lastRowFirstColumn="0" w:lastRowLastColumn="0"/>
              <w:rPr>
                <w:rFonts w:cs="Arial"/>
                <w:b/>
                <w:sz w:val="20"/>
                <w:szCs w:val="20"/>
              </w:rPr>
            </w:pPr>
            <w:r w:rsidRPr="00A933AD">
              <w:rPr>
                <w:rFonts w:cs="Arial"/>
                <w:b/>
                <w:sz w:val="20"/>
                <w:szCs w:val="20"/>
              </w:rPr>
              <w:t>100%</w:t>
            </w:r>
          </w:p>
        </w:tc>
      </w:tr>
    </w:tbl>
    <w:p w:rsidR="00170783" w:rsidRPr="005500E2" w:rsidRDefault="00170783" w:rsidP="00170783">
      <w:pPr>
        <w:pStyle w:val="MainText"/>
        <w:spacing w:after="360"/>
        <w:jc w:val="both"/>
        <w:rPr>
          <w:rFonts w:ascii="Arial" w:hAnsi="Arial" w:cs="Arial"/>
          <w:color w:val="000000"/>
          <w:sz w:val="20"/>
        </w:rPr>
      </w:pPr>
    </w:p>
    <w:p w:rsidR="003550B2" w:rsidRPr="003550B2" w:rsidRDefault="003550B2" w:rsidP="003550B2">
      <w:pPr>
        <w:pStyle w:val="MainText"/>
        <w:spacing w:before="240"/>
        <w:jc w:val="both"/>
        <w:rPr>
          <w:rFonts w:ascii="Arial" w:eastAsia="Calibri" w:hAnsi="Arial" w:cs="Arial"/>
          <w:color w:val="424FB3"/>
          <w:sz w:val="20"/>
          <w:lang w:eastAsia="en-GB"/>
        </w:rPr>
      </w:pPr>
      <w:r w:rsidRPr="003550B2">
        <w:rPr>
          <w:rFonts w:ascii="Arial" w:eastAsia="Calibri" w:hAnsi="Arial" w:cs="Arial"/>
          <w:color w:val="424FB3"/>
          <w:sz w:val="20"/>
          <w:lang w:eastAsia="en-GB"/>
        </w:rPr>
        <w:t>Cash balances</w:t>
      </w:r>
    </w:p>
    <w:p w:rsidR="003550B2" w:rsidRPr="00C12F45" w:rsidRDefault="003550B2" w:rsidP="00C12F45">
      <w:pPr>
        <w:pStyle w:val="MainText"/>
        <w:jc w:val="both"/>
        <w:rPr>
          <w:rFonts w:ascii="Arial" w:hAnsi="Arial" w:cs="Arial"/>
          <w:sz w:val="20"/>
        </w:rPr>
      </w:pPr>
      <w:r w:rsidRPr="003550B2">
        <w:rPr>
          <w:rFonts w:ascii="Arial" w:hAnsi="Arial" w:cs="Arial"/>
          <w:sz w:val="20"/>
        </w:rPr>
        <w:t xml:space="preserve">A working balance of cash is held for payment of benefits to members and for other short term cashflow needs. Under normal circumstances it is not the Trustees’ intention to hold a significant cash balance and this is monitored by the </w:t>
      </w:r>
      <w:r w:rsidR="00074143">
        <w:rPr>
          <w:rFonts w:ascii="Arial" w:hAnsi="Arial" w:cs="Arial"/>
          <w:sz w:val="20"/>
        </w:rPr>
        <w:t>Scheme</w:t>
      </w:r>
      <w:r w:rsidRPr="003550B2">
        <w:rPr>
          <w:rFonts w:ascii="Arial" w:hAnsi="Arial" w:cs="Arial"/>
          <w:sz w:val="20"/>
        </w:rPr>
        <w:t xml:space="preserve">’s administrator. </w:t>
      </w:r>
    </w:p>
    <w:bookmarkEnd w:id="3"/>
    <w:bookmarkEnd w:id="4"/>
    <w:sectPr w:rsidR="003550B2" w:rsidRPr="00C12F45" w:rsidSect="0020557B">
      <w:headerReference w:type="default" r:id="rId9"/>
      <w:footerReference w:type="default" r:id="rId10"/>
      <w:pgSz w:w="11906" w:h="16838"/>
      <w:pgMar w:top="709" w:right="1440" w:bottom="284" w:left="1440"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B02" w:rsidRDefault="00FD0B02">
      <w:r>
        <w:separator/>
      </w:r>
    </w:p>
  </w:endnote>
  <w:endnote w:type="continuationSeparator" w:id="0">
    <w:p w:rsidR="00FD0B02" w:rsidRDefault="00FD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otham Medium">
    <w:altName w:val="Arial"/>
    <w:panose1 w:val="00000000000000000000"/>
    <w:charset w:val="00"/>
    <w:family w:val="modern"/>
    <w:notTrueType/>
    <w:pitch w:val="variable"/>
    <w:sig w:usb0="00000001" w:usb1="4000005B" w:usb2="00000000" w:usb3="00000000" w:csb0="0000009B" w:csb1="00000000"/>
  </w:font>
  <w:font w:name="Gotham Book">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54F" w:rsidRPr="008F260D" w:rsidRDefault="00AA2ECB" w:rsidP="00F069D6">
    <w:pPr>
      <w:pStyle w:val="Footer"/>
      <w:tabs>
        <w:tab w:val="clear" w:pos="8640"/>
        <w:tab w:val="right" w:pos="9071"/>
      </w:tabs>
      <w:rPr>
        <w:rFonts w:cs="Arial"/>
        <w:color w:val="7F7F7F"/>
        <w:spacing w:val="60"/>
        <w:sz w:val="20"/>
      </w:rPr>
    </w:pPr>
    <w:r w:rsidRPr="008F260D">
      <w:rPr>
        <w:rStyle w:val="PageNumber"/>
        <w:noProof/>
        <w:sz w:val="20"/>
        <w:szCs w:val="22"/>
        <w:lang w:eastAsia="en-GB"/>
      </w:rPr>
      <w:tab/>
    </w:r>
    <w:r w:rsidRPr="008F260D">
      <w:rPr>
        <w:rStyle w:val="PageNumber"/>
        <w:noProof/>
        <w:sz w:val="20"/>
        <w:szCs w:val="22"/>
        <w:lang w:eastAsia="en-GB"/>
      </w:rPr>
      <w:tab/>
    </w:r>
    <w:r w:rsidR="00B2754F" w:rsidRPr="008F260D">
      <w:rPr>
        <w:rFonts w:cs="Arial"/>
        <w:color w:val="000000"/>
        <w:spacing w:val="60"/>
        <w:sz w:val="20"/>
      </w:rPr>
      <w:t>Page</w:t>
    </w:r>
    <w:r w:rsidR="00B2754F" w:rsidRPr="008F260D">
      <w:rPr>
        <w:rFonts w:cs="Arial"/>
        <w:color w:val="424FB3"/>
        <w:sz w:val="20"/>
      </w:rPr>
      <w:t xml:space="preserve">| </w:t>
    </w:r>
    <w:r w:rsidR="00B2754F" w:rsidRPr="008F260D">
      <w:rPr>
        <w:rFonts w:cs="Arial"/>
        <w:color w:val="424FB3"/>
        <w:sz w:val="20"/>
      </w:rPr>
      <w:fldChar w:fldCharType="begin"/>
    </w:r>
    <w:r w:rsidR="00B2754F" w:rsidRPr="008F260D">
      <w:rPr>
        <w:rFonts w:cs="Arial"/>
        <w:color w:val="424FB3"/>
        <w:sz w:val="20"/>
      </w:rPr>
      <w:instrText xml:space="preserve"> PAGE   \* MERGEFORMAT </w:instrText>
    </w:r>
    <w:r w:rsidR="00B2754F" w:rsidRPr="008F260D">
      <w:rPr>
        <w:rFonts w:cs="Arial"/>
        <w:color w:val="424FB3"/>
        <w:sz w:val="20"/>
      </w:rPr>
      <w:fldChar w:fldCharType="separate"/>
    </w:r>
    <w:r w:rsidR="00C54494">
      <w:rPr>
        <w:rFonts w:cs="Arial"/>
        <w:noProof/>
        <w:color w:val="424FB3"/>
        <w:sz w:val="20"/>
      </w:rPr>
      <w:t>9</w:t>
    </w:r>
    <w:r w:rsidR="00B2754F" w:rsidRPr="008F260D">
      <w:rPr>
        <w:rFonts w:cs="Arial"/>
        <w:color w:val="424FB3"/>
        <w:sz w:val="20"/>
      </w:rPr>
      <w:fldChar w:fldCharType="end"/>
    </w:r>
  </w:p>
  <w:p w:rsidR="00AA2ECB" w:rsidRPr="00234CB1" w:rsidRDefault="00AA2ECB" w:rsidP="00234CB1">
    <w:pPr>
      <w:pStyle w:val="Footer"/>
      <w:rPr>
        <w:rStyle w:val="PageNumbe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B02" w:rsidRDefault="00FD0B02">
      <w:r>
        <w:separator/>
      </w:r>
    </w:p>
  </w:footnote>
  <w:footnote w:type="continuationSeparator" w:id="0">
    <w:p w:rsidR="00FD0B02" w:rsidRDefault="00FD0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DE" w:rsidRPr="00074143" w:rsidRDefault="00170783" w:rsidP="00074143">
    <w:pPr>
      <w:pStyle w:val="Header"/>
      <w:rPr>
        <w:color w:val="424FB3"/>
      </w:rPr>
    </w:pPr>
    <w:r>
      <w:rPr>
        <w:color w:val="424FB3"/>
      </w:rPr>
      <w:t>St Ann’s Hospice Pension</w:t>
    </w:r>
    <w:r w:rsidR="00074143" w:rsidRPr="00074143">
      <w:rPr>
        <w:color w:val="424FB3"/>
      </w:rPr>
      <w:t xml:space="preserve"> Scheme</w:t>
    </w:r>
  </w:p>
  <w:p w:rsidR="00074143" w:rsidRPr="00074143" w:rsidRDefault="00074143" w:rsidP="00074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49C"/>
    <w:multiLevelType w:val="hybridMultilevel"/>
    <w:tmpl w:val="31A29AC8"/>
    <w:lvl w:ilvl="0" w:tplc="89085D8A">
      <w:start w:val="1"/>
      <w:numFmt w:val="decimal"/>
      <w:lvlText w:val="%1."/>
      <w:lvlJc w:val="left"/>
      <w:pPr>
        <w:ind w:left="862" w:hanging="360"/>
      </w:pPr>
      <w:rPr>
        <w:rFonts w:ascii="Arial" w:hAnsi="Arial" w:cs="Arial" w:hint="default"/>
        <w:b w:val="0"/>
        <w:color w:val="424FB3"/>
        <w:sz w:val="28"/>
        <w:szCs w:val="2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nsid w:val="01C8776F"/>
    <w:multiLevelType w:val="hybridMultilevel"/>
    <w:tmpl w:val="2AEE4E34"/>
    <w:lvl w:ilvl="0" w:tplc="776AA7E2">
      <w:start w:val="1"/>
      <w:numFmt w:val="bullet"/>
      <w:lvlText w:val=""/>
      <w:lvlJc w:val="left"/>
      <w:pPr>
        <w:ind w:left="360" w:hanging="360"/>
      </w:pPr>
      <w:rPr>
        <w:rFonts w:ascii="Symbol" w:hAnsi="Symbol" w:hint="default"/>
        <w:color w:val="424FB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C117FE"/>
    <w:multiLevelType w:val="hybridMultilevel"/>
    <w:tmpl w:val="A6F8E6EA"/>
    <w:lvl w:ilvl="0" w:tplc="571666F6">
      <w:start w:val="1"/>
      <w:numFmt w:val="bullet"/>
      <w:lvlText w:val=""/>
      <w:lvlJc w:val="left"/>
      <w:pPr>
        <w:ind w:left="720" w:hanging="360"/>
      </w:pPr>
      <w:rPr>
        <w:rFonts w:ascii="Symbol" w:hAnsi="Symbol" w:hint="default"/>
        <w:color w:val="424FB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070AA"/>
    <w:multiLevelType w:val="hybridMultilevel"/>
    <w:tmpl w:val="51D6DE9A"/>
    <w:lvl w:ilvl="0" w:tplc="6964B294">
      <w:start w:val="1"/>
      <w:numFmt w:val="bullet"/>
      <w:lvlText w:val=""/>
      <w:lvlJc w:val="left"/>
      <w:pPr>
        <w:tabs>
          <w:tab w:val="num" w:pos="720"/>
        </w:tabs>
        <w:ind w:left="720" w:hanging="720"/>
      </w:pPr>
      <w:rPr>
        <w:rFonts w:ascii="Symbol" w:hAnsi="Symbol" w:hint="default"/>
        <w:color w:val="424FB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E0821"/>
    <w:multiLevelType w:val="hybridMultilevel"/>
    <w:tmpl w:val="B290E1A8"/>
    <w:lvl w:ilvl="0" w:tplc="74AE9328">
      <w:start w:val="1"/>
      <w:numFmt w:val="bullet"/>
      <w:lvlText w:val=""/>
      <w:lvlJc w:val="left"/>
      <w:pPr>
        <w:ind w:left="786" w:hanging="360"/>
      </w:pPr>
      <w:rPr>
        <w:rFonts w:ascii="Symbol" w:hAnsi="Symbol" w:hint="default"/>
        <w:color w:val="424FB3"/>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3D2625E3"/>
    <w:multiLevelType w:val="hybridMultilevel"/>
    <w:tmpl w:val="2772913E"/>
    <w:lvl w:ilvl="0" w:tplc="89B0AA94">
      <w:start w:val="1"/>
      <w:numFmt w:val="bullet"/>
      <w:lvlText w:val=""/>
      <w:lvlJc w:val="left"/>
      <w:pPr>
        <w:ind w:left="720" w:hanging="360"/>
      </w:pPr>
      <w:rPr>
        <w:rFonts w:ascii="Symbol" w:hAnsi="Symbol" w:hint="default"/>
        <w:color w:val="424FB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7105" style="mso-position-vertical-relative:line" strokecolor="#c1292d">
      <v:stroke color="#c1292d" weight="1.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94"/>
    <w:rsid w:val="000014E0"/>
    <w:rsid w:val="000019A8"/>
    <w:rsid w:val="00001C41"/>
    <w:rsid w:val="00006D22"/>
    <w:rsid w:val="000070A7"/>
    <w:rsid w:val="00007C7F"/>
    <w:rsid w:val="00010A31"/>
    <w:rsid w:val="00010FE8"/>
    <w:rsid w:val="00011CBE"/>
    <w:rsid w:val="000120B1"/>
    <w:rsid w:val="00014439"/>
    <w:rsid w:val="000173B1"/>
    <w:rsid w:val="0002047E"/>
    <w:rsid w:val="000205B1"/>
    <w:rsid w:val="000212D4"/>
    <w:rsid w:val="000238D1"/>
    <w:rsid w:val="00023FE5"/>
    <w:rsid w:val="00025A32"/>
    <w:rsid w:val="00025F76"/>
    <w:rsid w:val="000262AF"/>
    <w:rsid w:val="00026644"/>
    <w:rsid w:val="00031C62"/>
    <w:rsid w:val="00031F4D"/>
    <w:rsid w:val="00033E83"/>
    <w:rsid w:val="000466B9"/>
    <w:rsid w:val="00051D58"/>
    <w:rsid w:val="0005273D"/>
    <w:rsid w:val="00055351"/>
    <w:rsid w:val="0005621C"/>
    <w:rsid w:val="00056B02"/>
    <w:rsid w:val="00056EC2"/>
    <w:rsid w:val="000640E4"/>
    <w:rsid w:val="00065C01"/>
    <w:rsid w:val="00070A50"/>
    <w:rsid w:val="000711A9"/>
    <w:rsid w:val="0007255C"/>
    <w:rsid w:val="00074143"/>
    <w:rsid w:val="000758AB"/>
    <w:rsid w:val="000766CC"/>
    <w:rsid w:val="00077872"/>
    <w:rsid w:val="0008116B"/>
    <w:rsid w:val="00082237"/>
    <w:rsid w:val="0009047E"/>
    <w:rsid w:val="00094517"/>
    <w:rsid w:val="00095160"/>
    <w:rsid w:val="000A116C"/>
    <w:rsid w:val="000A2304"/>
    <w:rsid w:val="000A3000"/>
    <w:rsid w:val="000A334E"/>
    <w:rsid w:val="000A629E"/>
    <w:rsid w:val="000A70CB"/>
    <w:rsid w:val="000B04BC"/>
    <w:rsid w:val="000B3B12"/>
    <w:rsid w:val="000B40E9"/>
    <w:rsid w:val="000B4EAE"/>
    <w:rsid w:val="000B5F56"/>
    <w:rsid w:val="000B7582"/>
    <w:rsid w:val="000C22E2"/>
    <w:rsid w:val="000C293B"/>
    <w:rsid w:val="000C549F"/>
    <w:rsid w:val="000C56F6"/>
    <w:rsid w:val="000D0853"/>
    <w:rsid w:val="000D088E"/>
    <w:rsid w:val="000D12F7"/>
    <w:rsid w:val="000D1CC2"/>
    <w:rsid w:val="000D1F3C"/>
    <w:rsid w:val="000D30FA"/>
    <w:rsid w:val="000D38A0"/>
    <w:rsid w:val="000E1F50"/>
    <w:rsid w:val="000E4B8A"/>
    <w:rsid w:val="000E57AF"/>
    <w:rsid w:val="000F308A"/>
    <w:rsid w:val="000F4B20"/>
    <w:rsid w:val="000F5E92"/>
    <w:rsid w:val="00101651"/>
    <w:rsid w:val="0010211B"/>
    <w:rsid w:val="001044BD"/>
    <w:rsid w:val="0010783D"/>
    <w:rsid w:val="001126F2"/>
    <w:rsid w:val="001138BA"/>
    <w:rsid w:val="0011604F"/>
    <w:rsid w:val="001168C3"/>
    <w:rsid w:val="00116B6B"/>
    <w:rsid w:val="00121996"/>
    <w:rsid w:val="00123C51"/>
    <w:rsid w:val="00125DE3"/>
    <w:rsid w:val="00126354"/>
    <w:rsid w:val="001270D3"/>
    <w:rsid w:val="00130479"/>
    <w:rsid w:val="0013615A"/>
    <w:rsid w:val="00140511"/>
    <w:rsid w:val="00143F84"/>
    <w:rsid w:val="00144333"/>
    <w:rsid w:val="0014786C"/>
    <w:rsid w:val="00147B19"/>
    <w:rsid w:val="001507E2"/>
    <w:rsid w:val="00151FE6"/>
    <w:rsid w:val="001520B5"/>
    <w:rsid w:val="0015549B"/>
    <w:rsid w:val="00156615"/>
    <w:rsid w:val="001566F8"/>
    <w:rsid w:val="00156D44"/>
    <w:rsid w:val="0016160E"/>
    <w:rsid w:val="00161A50"/>
    <w:rsid w:val="00166CBA"/>
    <w:rsid w:val="00170783"/>
    <w:rsid w:val="00171A0F"/>
    <w:rsid w:val="001763EA"/>
    <w:rsid w:val="0017661A"/>
    <w:rsid w:val="00176C5F"/>
    <w:rsid w:val="00181225"/>
    <w:rsid w:val="00184803"/>
    <w:rsid w:val="00185012"/>
    <w:rsid w:val="0018653B"/>
    <w:rsid w:val="0019424E"/>
    <w:rsid w:val="001942D2"/>
    <w:rsid w:val="0019463E"/>
    <w:rsid w:val="001957E6"/>
    <w:rsid w:val="001A04B3"/>
    <w:rsid w:val="001A0BA8"/>
    <w:rsid w:val="001A3C11"/>
    <w:rsid w:val="001A5C0D"/>
    <w:rsid w:val="001A68A9"/>
    <w:rsid w:val="001A6B9E"/>
    <w:rsid w:val="001B0779"/>
    <w:rsid w:val="001B2F98"/>
    <w:rsid w:val="001B62BD"/>
    <w:rsid w:val="001B69DE"/>
    <w:rsid w:val="001B6D5D"/>
    <w:rsid w:val="001C0265"/>
    <w:rsid w:val="001C61AD"/>
    <w:rsid w:val="001D287D"/>
    <w:rsid w:val="001D490C"/>
    <w:rsid w:val="001D5AD6"/>
    <w:rsid w:val="001D73A6"/>
    <w:rsid w:val="001E017D"/>
    <w:rsid w:val="001E0201"/>
    <w:rsid w:val="001E0F2D"/>
    <w:rsid w:val="001E161E"/>
    <w:rsid w:val="001E5454"/>
    <w:rsid w:val="001E588C"/>
    <w:rsid w:val="001E5F7A"/>
    <w:rsid w:val="001E72C3"/>
    <w:rsid w:val="001E78D5"/>
    <w:rsid w:val="001F0E71"/>
    <w:rsid w:val="001F46F6"/>
    <w:rsid w:val="001F501D"/>
    <w:rsid w:val="001F7188"/>
    <w:rsid w:val="002005B2"/>
    <w:rsid w:val="002019D7"/>
    <w:rsid w:val="00201E5C"/>
    <w:rsid w:val="0020207D"/>
    <w:rsid w:val="002022AC"/>
    <w:rsid w:val="00203B08"/>
    <w:rsid w:val="0020435E"/>
    <w:rsid w:val="0020557B"/>
    <w:rsid w:val="00207BCC"/>
    <w:rsid w:val="00210CA2"/>
    <w:rsid w:val="00210E9C"/>
    <w:rsid w:val="002112BE"/>
    <w:rsid w:val="00211D54"/>
    <w:rsid w:val="00214C7E"/>
    <w:rsid w:val="00215B01"/>
    <w:rsid w:val="00216FE3"/>
    <w:rsid w:val="0021783A"/>
    <w:rsid w:val="002179EC"/>
    <w:rsid w:val="00221FD0"/>
    <w:rsid w:val="00222073"/>
    <w:rsid w:val="00224CE9"/>
    <w:rsid w:val="00225ED5"/>
    <w:rsid w:val="00227E49"/>
    <w:rsid w:val="00230C09"/>
    <w:rsid w:val="00232742"/>
    <w:rsid w:val="00234B2F"/>
    <w:rsid w:val="00234CB1"/>
    <w:rsid w:val="00234E6D"/>
    <w:rsid w:val="00236390"/>
    <w:rsid w:val="00236A8D"/>
    <w:rsid w:val="00237B6C"/>
    <w:rsid w:val="00240BBA"/>
    <w:rsid w:val="0024183F"/>
    <w:rsid w:val="00244539"/>
    <w:rsid w:val="00244AF6"/>
    <w:rsid w:val="00245729"/>
    <w:rsid w:val="00250EA0"/>
    <w:rsid w:val="0025193A"/>
    <w:rsid w:val="00252935"/>
    <w:rsid w:val="00252EA8"/>
    <w:rsid w:val="00253180"/>
    <w:rsid w:val="002534DE"/>
    <w:rsid w:val="00260454"/>
    <w:rsid w:val="0026259D"/>
    <w:rsid w:val="00263583"/>
    <w:rsid w:val="002655B3"/>
    <w:rsid w:val="002666CF"/>
    <w:rsid w:val="00267155"/>
    <w:rsid w:val="00272FC0"/>
    <w:rsid w:val="0027527E"/>
    <w:rsid w:val="00276EE1"/>
    <w:rsid w:val="0027772E"/>
    <w:rsid w:val="0028209A"/>
    <w:rsid w:val="0028671C"/>
    <w:rsid w:val="0029027E"/>
    <w:rsid w:val="00291F91"/>
    <w:rsid w:val="00293DEB"/>
    <w:rsid w:val="0029404F"/>
    <w:rsid w:val="002944DF"/>
    <w:rsid w:val="0029661A"/>
    <w:rsid w:val="00297994"/>
    <w:rsid w:val="00297BAE"/>
    <w:rsid w:val="002A1407"/>
    <w:rsid w:val="002A3EC2"/>
    <w:rsid w:val="002A7F18"/>
    <w:rsid w:val="002B1AA8"/>
    <w:rsid w:val="002B2D2B"/>
    <w:rsid w:val="002B5497"/>
    <w:rsid w:val="002B55D3"/>
    <w:rsid w:val="002C3E70"/>
    <w:rsid w:val="002C6917"/>
    <w:rsid w:val="002C765C"/>
    <w:rsid w:val="002D0DCF"/>
    <w:rsid w:val="002D12DF"/>
    <w:rsid w:val="002D2208"/>
    <w:rsid w:val="002D53E4"/>
    <w:rsid w:val="002D672F"/>
    <w:rsid w:val="002E017D"/>
    <w:rsid w:val="002E7242"/>
    <w:rsid w:val="002F29A1"/>
    <w:rsid w:val="002F3AF2"/>
    <w:rsid w:val="002F5C50"/>
    <w:rsid w:val="003004C7"/>
    <w:rsid w:val="003016B8"/>
    <w:rsid w:val="003016EE"/>
    <w:rsid w:val="003023A5"/>
    <w:rsid w:val="00310DB2"/>
    <w:rsid w:val="00310F27"/>
    <w:rsid w:val="0031187F"/>
    <w:rsid w:val="0031327D"/>
    <w:rsid w:val="0031406C"/>
    <w:rsid w:val="0031443E"/>
    <w:rsid w:val="0031460E"/>
    <w:rsid w:val="00315B5E"/>
    <w:rsid w:val="0031647E"/>
    <w:rsid w:val="00316CA7"/>
    <w:rsid w:val="00316E45"/>
    <w:rsid w:val="00317147"/>
    <w:rsid w:val="0032511E"/>
    <w:rsid w:val="00330341"/>
    <w:rsid w:val="00330A89"/>
    <w:rsid w:val="00334706"/>
    <w:rsid w:val="00336696"/>
    <w:rsid w:val="0033685A"/>
    <w:rsid w:val="0033721A"/>
    <w:rsid w:val="00340657"/>
    <w:rsid w:val="00340D21"/>
    <w:rsid w:val="00341186"/>
    <w:rsid w:val="00345586"/>
    <w:rsid w:val="00346AF1"/>
    <w:rsid w:val="003470DB"/>
    <w:rsid w:val="003507CD"/>
    <w:rsid w:val="003550B2"/>
    <w:rsid w:val="003605B6"/>
    <w:rsid w:val="00363B9A"/>
    <w:rsid w:val="00366C68"/>
    <w:rsid w:val="0037003E"/>
    <w:rsid w:val="0037363E"/>
    <w:rsid w:val="00374F4F"/>
    <w:rsid w:val="00376110"/>
    <w:rsid w:val="0037627A"/>
    <w:rsid w:val="00376967"/>
    <w:rsid w:val="003814EF"/>
    <w:rsid w:val="003826B1"/>
    <w:rsid w:val="00384E44"/>
    <w:rsid w:val="00385131"/>
    <w:rsid w:val="00390D5A"/>
    <w:rsid w:val="00393238"/>
    <w:rsid w:val="003962C9"/>
    <w:rsid w:val="00396550"/>
    <w:rsid w:val="00396C03"/>
    <w:rsid w:val="003A0A41"/>
    <w:rsid w:val="003A5647"/>
    <w:rsid w:val="003A66DA"/>
    <w:rsid w:val="003A7358"/>
    <w:rsid w:val="003A7DBD"/>
    <w:rsid w:val="003B0ECC"/>
    <w:rsid w:val="003B5431"/>
    <w:rsid w:val="003C11F7"/>
    <w:rsid w:val="003C1315"/>
    <w:rsid w:val="003C2D45"/>
    <w:rsid w:val="003C35A0"/>
    <w:rsid w:val="003D4B70"/>
    <w:rsid w:val="003D56ED"/>
    <w:rsid w:val="003E01EC"/>
    <w:rsid w:val="003E3D62"/>
    <w:rsid w:val="003E67F2"/>
    <w:rsid w:val="003F1BCF"/>
    <w:rsid w:val="003F24FE"/>
    <w:rsid w:val="003F2D3A"/>
    <w:rsid w:val="003F47B3"/>
    <w:rsid w:val="003F4938"/>
    <w:rsid w:val="003F51D4"/>
    <w:rsid w:val="003F649B"/>
    <w:rsid w:val="003F661B"/>
    <w:rsid w:val="004020DA"/>
    <w:rsid w:val="0040392F"/>
    <w:rsid w:val="00404D9A"/>
    <w:rsid w:val="00405948"/>
    <w:rsid w:val="00406ACF"/>
    <w:rsid w:val="00410A20"/>
    <w:rsid w:val="00410A90"/>
    <w:rsid w:val="00411A1D"/>
    <w:rsid w:val="00411F77"/>
    <w:rsid w:val="00413574"/>
    <w:rsid w:val="00413C6D"/>
    <w:rsid w:val="00414C3A"/>
    <w:rsid w:val="004160DB"/>
    <w:rsid w:val="00420BFB"/>
    <w:rsid w:val="00421D82"/>
    <w:rsid w:val="00427872"/>
    <w:rsid w:val="004278D9"/>
    <w:rsid w:val="00427C34"/>
    <w:rsid w:val="004314AE"/>
    <w:rsid w:val="004317A7"/>
    <w:rsid w:val="0043204D"/>
    <w:rsid w:val="004338AA"/>
    <w:rsid w:val="004344F4"/>
    <w:rsid w:val="0043454D"/>
    <w:rsid w:val="00440524"/>
    <w:rsid w:val="00440695"/>
    <w:rsid w:val="00441836"/>
    <w:rsid w:val="00442640"/>
    <w:rsid w:val="00443E53"/>
    <w:rsid w:val="004448DA"/>
    <w:rsid w:val="004454DD"/>
    <w:rsid w:val="00445F38"/>
    <w:rsid w:val="00447F14"/>
    <w:rsid w:val="00450AF4"/>
    <w:rsid w:val="00450B54"/>
    <w:rsid w:val="00450D2D"/>
    <w:rsid w:val="00454F74"/>
    <w:rsid w:val="00456A1D"/>
    <w:rsid w:val="00461A70"/>
    <w:rsid w:val="00465012"/>
    <w:rsid w:val="00465FB8"/>
    <w:rsid w:val="004671C9"/>
    <w:rsid w:val="00470DC6"/>
    <w:rsid w:val="00475172"/>
    <w:rsid w:val="00477D5D"/>
    <w:rsid w:val="00482AD8"/>
    <w:rsid w:val="0048681C"/>
    <w:rsid w:val="00486F4D"/>
    <w:rsid w:val="00486F58"/>
    <w:rsid w:val="004905C5"/>
    <w:rsid w:val="00490D76"/>
    <w:rsid w:val="004916AC"/>
    <w:rsid w:val="00491F2D"/>
    <w:rsid w:val="0049328B"/>
    <w:rsid w:val="00494A5A"/>
    <w:rsid w:val="00495192"/>
    <w:rsid w:val="00495D92"/>
    <w:rsid w:val="0049643C"/>
    <w:rsid w:val="004970C9"/>
    <w:rsid w:val="004A0FB4"/>
    <w:rsid w:val="004A381D"/>
    <w:rsid w:val="004A673E"/>
    <w:rsid w:val="004A695A"/>
    <w:rsid w:val="004B0FC8"/>
    <w:rsid w:val="004B2469"/>
    <w:rsid w:val="004B287D"/>
    <w:rsid w:val="004C28A8"/>
    <w:rsid w:val="004C2A39"/>
    <w:rsid w:val="004C3FEE"/>
    <w:rsid w:val="004C5E31"/>
    <w:rsid w:val="004D2295"/>
    <w:rsid w:val="004D2BAF"/>
    <w:rsid w:val="004D38B0"/>
    <w:rsid w:val="004D57E6"/>
    <w:rsid w:val="004D7402"/>
    <w:rsid w:val="004D7C8D"/>
    <w:rsid w:val="004E0011"/>
    <w:rsid w:val="004E04F7"/>
    <w:rsid w:val="004E0D11"/>
    <w:rsid w:val="004E36A4"/>
    <w:rsid w:val="004E6FDA"/>
    <w:rsid w:val="004F1797"/>
    <w:rsid w:val="004F3331"/>
    <w:rsid w:val="004F35CF"/>
    <w:rsid w:val="004F3A42"/>
    <w:rsid w:val="005040CE"/>
    <w:rsid w:val="0050561B"/>
    <w:rsid w:val="005078CD"/>
    <w:rsid w:val="00510D12"/>
    <w:rsid w:val="00511938"/>
    <w:rsid w:val="00512F4F"/>
    <w:rsid w:val="0051510B"/>
    <w:rsid w:val="005159A4"/>
    <w:rsid w:val="0051679A"/>
    <w:rsid w:val="00526832"/>
    <w:rsid w:val="0053078B"/>
    <w:rsid w:val="00530826"/>
    <w:rsid w:val="00533C6F"/>
    <w:rsid w:val="00536A95"/>
    <w:rsid w:val="00540797"/>
    <w:rsid w:val="0054196F"/>
    <w:rsid w:val="00543A55"/>
    <w:rsid w:val="00543F0B"/>
    <w:rsid w:val="0054408F"/>
    <w:rsid w:val="005457B5"/>
    <w:rsid w:val="0055155B"/>
    <w:rsid w:val="00553448"/>
    <w:rsid w:val="005534EC"/>
    <w:rsid w:val="005554E8"/>
    <w:rsid w:val="00562107"/>
    <w:rsid w:val="0056532C"/>
    <w:rsid w:val="0056676B"/>
    <w:rsid w:val="00573421"/>
    <w:rsid w:val="00573D2F"/>
    <w:rsid w:val="00577AE8"/>
    <w:rsid w:val="005859A5"/>
    <w:rsid w:val="00587586"/>
    <w:rsid w:val="00587F2C"/>
    <w:rsid w:val="00591024"/>
    <w:rsid w:val="005920A6"/>
    <w:rsid w:val="005933BD"/>
    <w:rsid w:val="0059387B"/>
    <w:rsid w:val="005946AB"/>
    <w:rsid w:val="00594A25"/>
    <w:rsid w:val="005967A4"/>
    <w:rsid w:val="005A1028"/>
    <w:rsid w:val="005A3AA0"/>
    <w:rsid w:val="005A6E3D"/>
    <w:rsid w:val="005B0EC9"/>
    <w:rsid w:val="005B28FE"/>
    <w:rsid w:val="005B618A"/>
    <w:rsid w:val="005C0D1C"/>
    <w:rsid w:val="005C3DDC"/>
    <w:rsid w:val="005C3EF6"/>
    <w:rsid w:val="005C48ED"/>
    <w:rsid w:val="005C6410"/>
    <w:rsid w:val="005D429B"/>
    <w:rsid w:val="005D44AC"/>
    <w:rsid w:val="005E0403"/>
    <w:rsid w:val="005E391C"/>
    <w:rsid w:val="005E3E37"/>
    <w:rsid w:val="005F03DF"/>
    <w:rsid w:val="005F1BE3"/>
    <w:rsid w:val="005F1CEF"/>
    <w:rsid w:val="005F1CFC"/>
    <w:rsid w:val="005F28CE"/>
    <w:rsid w:val="005F3597"/>
    <w:rsid w:val="00600207"/>
    <w:rsid w:val="00601406"/>
    <w:rsid w:val="00603F81"/>
    <w:rsid w:val="006051D4"/>
    <w:rsid w:val="00606A97"/>
    <w:rsid w:val="00610D08"/>
    <w:rsid w:val="00613037"/>
    <w:rsid w:val="0061319C"/>
    <w:rsid w:val="006133DE"/>
    <w:rsid w:val="006135A2"/>
    <w:rsid w:val="00613C9D"/>
    <w:rsid w:val="006147A0"/>
    <w:rsid w:val="00615542"/>
    <w:rsid w:val="00616592"/>
    <w:rsid w:val="006173D7"/>
    <w:rsid w:val="00621D69"/>
    <w:rsid w:val="00622000"/>
    <w:rsid w:val="00622041"/>
    <w:rsid w:val="00631E5A"/>
    <w:rsid w:val="006339CA"/>
    <w:rsid w:val="00634CB2"/>
    <w:rsid w:val="0063537B"/>
    <w:rsid w:val="0063551C"/>
    <w:rsid w:val="00635D24"/>
    <w:rsid w:val="00636A9F"/>
    <w:rsid w:val="00637DC2"/>
    <w:rsid w:val="00637F0F"/>
    <w:rsid w:val="00640BFF"/>
    <w:rsid w:val="00641ADA"/>
    <w:rsid w:val="006422F4"/>
    <w:rsid w:val="00643B13"/>
    <w:rsid w:val="006447CB"/>
    <w:rsid w:val="006448DA"/>
    <w:rsid w:val="00647F5A"/>
    <w:rsid w:val="0065001E"/>
    <w:rsid w:val="0065011B"/>
    <w:rsid w:val="0065164F"/>
    <w:rsid w:val="00654B40"/>
    <w:rsid w:val="00654D71"/>
    <w:rsid w:val="006558CD"/>
    <w:rsid w:val="00656F66"/>
    <w:rsid w:val="00667F14"/>
    <w:rsid w:val="00674939"/>
    <w:rsid w:val="006758D1"/>
    <w:rsid w:val="00675D60"/>
    <w:rsid w:val="0067680C"/>
    <w:rsid w:val="006769A3"/>
    <w:rsid w:val="006802D8"/>
    <w:rsid w:val="0068326F"/>
    <w:rsid w:val="0068373B"/>
    <w:rsid w:val="006847AE"/>
    <w:rsid w:val="006858AA"/>
    <w:rsid w:val="00686BDE"/>
    <w:rsid w:val="00687DA0"/>
    <w:rsid w:val="00691AD9"/>
    <w:rsid w:val="00691D2B"/>
    <w:rsid w:val="00693AA0"/>
    <w:rsid w:val="00693AFA"/>
    <w:rsid w:val="00694375"/>
    <w:rsid w:val="006943FA"/>
    <w:rsid w:val="00694CB5"/>
    <w:rsid w:val="006951CB"/>
    <w:rsid w:val="006975B3"/>
    <w:rsid w:val="006976B6"/>
    <w:rsid w:val="006A06BD"/>
    <w:rsid w:val="006A3EF1"/>
    <w:rsid w:val="006A491B"/>
    <w:rsid w:val="006A5FF4"/>
    <w:rsid w:val="006B0F3E"/>
    <w:rsid w:val="006B1904"/>
    <w:rsid w:val="006B3F57"/>
    <w:rsid w:val="006B673A"/>
    <w:rsid w:val="006C0F9D"/>
    <w:rsid w:val="006C6598"/>
    <w:rsid w:val="006C7165"/>
    <w:rsid w:val="006D07BE"/>
    <w:rsid w:val="006D11FE"/>
    <w:rsid w:val="006D1981"/>
    <w:rsid w:val="006D241B"/>
    <w:rsid w:val="006D3F5D"/>
    <w:rsid w:val="006D5865"/>
    <w:rsid w:val="006D61CF"/>
    <w:rsid w:val="006D650E"/>
    <w:rsid w:val="006D72B3"/>
    <w:rsid w:val="006E0DE8"/>
    <w:rsid w:val="006E139A"/>
    <w:rsid w:val="006E33E8"/>
    <w:rsid w:val="006E43CB"/>
    <w:rsid w:val="006E5CCF"/>
    <w:rsid w:val="006E6389"/>
    <w:rsid w:val="006F59F6"/>
    <w:rsid w:val="006F5AD8"/>
    <w:rsid w:val="007003B7"/>
    <w:rsid w:val="00703E0B"/>
    <w:rsid w:val="007156A1"/>
    <w:rsid w:val="00715CAA"/>
    <w:rsid w:val="00717422"/>
    <w:rsid w:val="00717816"/>
    <w:rsid w:val="00717CA4"/>
    <w:rsid w:val="00717CEB"/>
    <w:rsid w:val="00717DCB"/>
    <w:rsid w:val="007208DC"/>
    <w:rsid w:val="00724A70"/>
    <w:rsid w:val="00730452"/>
    <w:rsid w:val="007311F5"/>
    <w:rsid w:val="00731F1D"/>
    <w:rsid w:val="00732828"/>
    <w:rsid w:val="007343D4"/>
    <w:rsid w:val="00734DEE"/>
    <w:rsid w:val="00735299"/>
    <w:rsid w:val="007411ED"/>
    <w:rsid w:val="00741A6E"/>
    <w:rsid w:val="00741F29"/>
    <w:rsid w:val="00742125"/>
    <w:rsid w:val="00743E14"/>
    <w:rsid w:val="0074400C"/>
    <w:rsid w:val="00747C42"/>
    <w:rsid w:val="00752C28"/>
    <w:rsid w:val="00752EDD"/>
    <w:rsid w:val="0075348A"/>
    <w:rsid w:val="00754487"/>
    <w:rsid w:val="00760635"/>
    <w:rsid w:val="0076178D"/>
    <w:rsid w:val="0076579F"/>
    <w:rsid w:val="00766420"/>
    <w:rsid w:val="0076758D"/>
    <w:rsid w:val="00767E11"/>
    <w:rsid w:val="00770D74"/>
    <w:rsid w:val="00771930"/>
    <w:rsid w:val="007749B2"/>
    <w:rsid w:val="0077798D"/>
    <w:rsid w:val="00777EE7"/>
    <w:rsid w:val="007800B8"/>
    <w:rsid w:val="007902D1"/>
    <w:rsid w:val="00791D47"/>
    <w:rsid w:val="00794E70"/>
    <w:rsid w:val="00796136"/>
    <w:rsid w:val="0079661F"/>
    <w:rsid w:val="007A0AFF"/>
    <w:rsid w:val="007A0FA2"/>
    <w:rsid w:val="007A145D"/>
    <w:rsid w:val="007A17EF"/>
    <w:rsid w:val="007A295A"/>
    <w:rsid w:val="007A64EE"/>
    <w:rsid w:val="007B132F"/>
    <w:rsid w:val="007B2126"/>
    <w:rsid w:val="007B2C01"/>
    <w:rsid w:val="007B3D98"/>
    <w:rsid w:val="007B4089"/>
    <w:rsid w:val="007B5349"/>
    <w:rsid w:val="007B56DD"/>
    <w:rsid w:val="007B65A4"/>
    <w:rsid w:val="007B67EC"/>
    <w:rsid w:val="007B7690"/>
    <w:rsid w:val="007C0DD8"/>
    <w:rsid w:val="007C3CCC"/>
    <w:rsid w:val="007C508F"/>
    <w:rsid w:val="007D1786"/>
    <w:rsid w:val="007D1935"/>
    <w:rsid w:val="007D46CF"/>
    <w:rsid w:val="007D4753"/>
    <w:rsid w:val="007D545C"/>
    <w:rsid w:val="007D6610"/>
    <w:rsid w:val="007D7CDE"/>
    <w:rsid w:val="007E0527"/>
    <w:rsid w:val="007E4345"/>
    <w:rsid w:val="007E5FD2"/>
    <w:rsid w:val="007E6E32"/>
    <w:rsid w:val="007E7CE2"/>
    <w:rsid w:val="007F07CE"/>
    <w:rsid w:val="007F19A0"/>
    <w:rsid w:val="007F5DD1"/>
    <w:rsid w:val="00803C31"/>
    <w:rsid w:val="00805B3E"/>
    <w:rsid w:val="00806F87"/>
    <w:rsid w:val="008073EA"/>
    <w:rsid w:val="008100F6"/>
    <w:rsid w:val="00810C48"/>
    <w:rsid w:val="008119B7"/>
    <w:rsid w:val="00815305"/>
    <w:rsid w:val="00823ADC"/>
    <w:rsid w:val="00824154"/>
    <w:rsid w:val="008338A7"/>
    <w:rsid w:val="008373F9"/>
    <w:rsid w:val="00837525"/>
    <w:rsid w:val="00842021"/>
    <w:rsid w:val="00842C5F"/>
    <w:rsid w:val="00842DD8"/>
    <w:rsid w:val="00845912"/>
    <w:rsid w:val="00845B47"/>
    <w:rsid w:val="00846A77"/>
    <w:rsid w:val="0085091C"/>
    <w:rsid w:val="0085378A"/>
    <w:rsid w:val="0085496F"/>
    <w:rsid w:val="008569B7"/>
    <w:rsid w:val="0086134F"/>
    <w:rsid w:val="008628C5"/>
    <w:rsid w:val="00864CAA"/>
    <w:rsid w:val="00865765"/>
    <w:rsid w:val="00866E9E"/>
    <w:rsid w:val="00867117"/>
    <w:rsid w:val="00867A64"/>
    <w:rsid w:val="0087030F"/>
    <w:rsid w:val="008715EE"/>
    <w:rsid w:val="00872B9F"/>
    <w:rsid w:val="00873FB5"/>
    <w:rsid w:val="00874D68"/>
    <w:rsid w:val="00875BD9"/>
    <w:rsid w:val="00880C3B"/>
    <w:rsid w:val="00884EBC"/>
    <w:rsid w:val="00885C89"/>
    <w:rsid w:val="008861A3"/>
    <w:rsid w:val="008875E3"/>
    <w:rsid w:val="00893DDD"/>
    <w:rsid w:val="008946DB"/>
    <w:rsid w:val="008949B4"/>
    <w:rsid w:val="00896107"/>
    <w:rsid w:val="00896223"/>
    <w:rsid w:val="0089739F"/>
    <w:rsid w:val="008973BC"/>
    <w:rsid w:val="00897711"/>
    <w:rsid w:val="008A00E5"/>
    <w:rsid w:val="008A044E"/>
    <w:rsid w:val="008A3AC6"/>
    <w:rsid w:val="008A3E0C"/>
    <w:rsid w:val="008A4B4C"/>
    <w:rsid w:val="008B0E45"/>
    <w:rsid w:val="008B4161"/>
    <w:rsid w:val="008B5D10"/>
    <w:rsid w:val="008C0288"/>
    <w:rsid w:val="008C3CD6"/>
    <w:rsid w:val="008C3E4B"/>
    <w:rsid w:val="008C436A"/>
    <w:rsid w:val="008D0279"/>
    <w:rsid w:val="008D129A"/>
    <w:rsid w:val="008D268F"/>
    <w:rsid w:val="008D2E58"/>
    <w:rsid w:val="008D3894"/>
    <w:rsid w:val="008D48EE"/>
    <w:rsid w:val="008D5804"/>
    <w:rsid w:val="008E00B5"/>
    <w:rsid w:val="008E07FA"/>
    <w:rsid w:val="008E1D8D"/>
    <w:rsid w:val="008E42F3"/>
    <w:rsid w:val="008E4544"/>
    <w:rsid w:val="008F0101"/>
    <w:rsid w:val="008F260D"/>
    <w:rsid w:val="008F40B8"/>
    <w:rsid w:val="008F5913"/>
    <w:rsid w:val="008F62AD"/>
    <w:rsid w:val="008F6B80"/>
    <w:rsid w:val="00901EA1"/>
    <w:rsid w:val="009033D6"/>
    <w:rsid w:val="00903F57"/>
    <w:rsid w:val="00904369"/>
    <w:rsid w:val="0090511D"/>
    <w:rsid w:val="0090677A"/>
    <w:rsid w:val="00907256"/>
    <w:rsid w:val="00910223"/>
    <w:rsid w:val="00912DE7"/>
    <w:rsid w:val="00914C20"/>
    <w:rsid w:val="009159DE"/>
    <w:rsid w:val="009161B6"/>
    <w:rsid w:val="00925C26"/>
    <w:rsid w:val="009270AE"/>
    <w:rsid w:val="0092784D"/>
    <w:rsid w:val="0093082E"/>
    <w:rsid w:val="00933CE9"/>
    <w:rsid w:val="009340DB"/>
    <w:rsid w:val="00936D8A"/>
    <w:rsid w:val="0094174E"/>
    <w:rsid w:val="009441F6"/>
    <w:rsid w:val="0095015F"/>
    <w:rsid w:val="00950F35"/>
    <w:rsid w:val="00951CDE"/>
    <w:rsid w:val="00952C58"/>
    <w:rsid w:val="00955FD0"/>
    <w:rsid w:val="00956732"/>
    <w:rsid w:val="0096092B"/>
    <w:rsid w:val="00963EA0"/>
    <w:rsid w:val="00966726"/>
    <w:rsid w:val="00971307"/>
    <w:rsid w:val="00972A35"/>
    <w:rsid w:val="00973515"/>
    <w:rsid w:val="0097379E"/>
    <w:rsid w:val="00974781"/>
    <w:rsid w:val="00974E6D"/>
    <w:rsid w:val="0097528B"/>
    <w:rsid w:val="00977A10"/>
    <w:rsid w:val="00980098"/>
    <w:rsid w:val="00983ED1"/>
    <w:rsid w:val="0098405A"/>
    <w:rsid w:val="0098442E"/>
    <w:rsid w:val="00985268"/>
    <w:rsid w:val="00986993"/>
    <w:rsid w:val="00987B28"/>
    <w:rsid w:val="00990C2E"/>
    <w:rsid w:val="00994B54"/>
    <w:rsid w:val="00995048"/>
    <w:rsid w:val="009961CD"/>
    <w:rsid w:val="00997D80"/>
    <w:rsid w:val="009A0289"/>
    <w:rsid w:val="009A02CB"/>
    <w:rsid w:val="009A5DDD"/>
    <w:rsid w:val="009A72C5"/>
    <w:rsid w:val="009A7413"/>
    <w:rsid w:val="009B1C07"/>
    <w:rsid w:val="009B7D6D"/>
    <w:rsid w:val="009C492B"/>
    <w:rsid w:val="009C5151"/>
    <w:rsid w:val="009C5940"/>
    <w:rsid w:val="009D0EC1"/>
    <w:rsid w:val="009D14EE"/>
    <w:rsid w:val="009D23D0"/>
    <w:rsid w:val="009D2695"/>
    <w:rsid w:val="009D2937"/>
    <w:rsid w:val="009D2A53"/>
    <w:rsid w:val="009D338A"/>
    <w:rsid w:val="009D5E3D"/>
    <w:rsid w:val="009D7BEB"/>
    <w:rsid w:val="009E302E"/>
    <w:rsid w:val="009E52B4"/>
    <w:rsid w:val="009E6BAC"/>
    <w:rsid w:val="009F0EAD"/>
    <w:rsid w:val="009F2B53"/>
    <w:rsid w:val="009F31AB"/>
    <w:rsid w:val="009F378A"/>
    <w:rsid w:val="009F50BA"/>
    <w:rsid w:val="009F50FF"/>
    <w:rsid w:val="009F6D16"/>
    <w:rsid w:val="00A00924"/>
    <w:rsid w:val="00A009B1"/>
    <w:rsid w:val="00A01460"/>
    <w:rsid w:val="00A02CF7"/>
    <w:rsid w:val="00A03922"/>
    <w:rsid w:val="00A070A8"/>
    <w:rsid w:val="00A11058"/>
    <w:rsid w:val="00A11402"/>
    <w:rsid w:val="00A117FB"/>
    <w:rsid w:val="00A11FB6"/>
    <w:rsid w:val="00A13153"/>
    <w:rsid w:val="00A13257"/>
    <w:rsid w:val="00A1328B"/>
    <w:rsid w:val="00A16D74"/>
    <w:rsid w:val="00A23596"/>
    <w:rsid w:val="00A23CEB"/>
    <w:rsid w:val="00A25EBA"/>
    <w:rsid w:val="00A31069"/>
    <w:rsid w:val="00A3365C"/>
    <w:rsid w:val="00A33BC1"/>
    <w:rsid w:val="00A3463E"/>
    <w:rsid w:val="00A34BED"/>
    <w:rsid w:val="00A37CE7"/>
    <w:rsid w:val="00A40A08"/>
    <w:rsid w:val="00A4141D"/>
    <w:rsid w:val="00A424FC"/>
    <w:rsid w:val="00A42F80"/>
    <w:rsid w:val="00A434A3"/>
    <w:rsid w:val="00A5085F"/>
    <w:rsid w:val="00A51E4A"/>
    <w:rsid w:val="00A54E35"/>
    <w:rsid w:val="00A6179E"/>
    <w:rsid w:val="00A61A05"/>
    <w:rsid w:val="00A6238B"/>
    <w:rsid w:val="00A624CF"/>
    <w:rsid w:val="00A6439F"/>
    <w:rsid w:val="00A64BCC"/>
    <w:rsid w:val="00A65A65"/>
    <w:rsid w:val="00A72550"/>
    <w:rsid w:val="00A7270A"/>
    <w:rsid w:val="00A72F1F"/>
    <w:rsid w:val="00A73137"/>
    <w:rsid w:val="00A73650"/>
    <w:rsid w:val="00A766F1"/>
    <w:rsid w:val="00A778EF"/>
    <w:rsid w:val="00A84FBE"/>
    <w:rsid w:val="00A86780"/>
    <w:rsid w:val="00A86BA7"/>
    <w:rsid w:val="00A92143"/>
    <w:rsid w:val="00A928CE"/>
    <w:rsid w:val="00A933AD"/>
    <w:rsid w:val="00A934BE"/>
    <w:rsid w:val="00A940BA"/>
    <w:rsid w:val="00A969F4"/>
    <w:rsid w:val="00A97015"/>
    <w:rsid w:val="00A9755C"/>
    <w:rsid w:val="00AA0123"/>
    <w:rsid w:val="00AA0F4F"/>
    <w:rsid w:val="00AA192C"/>
    <w:rsid w:val="00AA2ECB"/>
    <w:rsid w:val="00AA2F4B"/>
    <w:rsid w:val="00AA3522"/>
    <w:rsid w:val="00AA58A5"/>
    <w:rsid w:val="00AB53D9"/>
    <w:rsid w:val="00AB67E7"/>
    <w:rsid w:val="00AC0636"/>
    <w:rsid w:val="00AC260B"/>
    <w:rsid w:val="00AC3721"/>
    <w:rsid w:val="00AC4B8E"/>
    <w:rsid w:val="00AC4CBD"/>
    <w:rsid w:val="00AC6D15"/>
    <w:rsid w:val="00AD2C4F"/>
    <w:rsid w:val="00AD35EF"/>
    <w:rsid w:val="00AD5B57"/>
    <w:rsid w:val="00AE10C4"/>
    <w:rsid w:val="00AE24A8"/>
    <w:rsid w:val="00AE3A17"/>
    <w:rsid w:val="00AE5328"/>
    <w:rsid w:val="00AF0744"/>
    <w:rsid w:val="00AF340B"/>
    <w:rsid w:val="00AF4E42"/>
    <w:rsid w:val="00AF5DDD"/>
    <w:rsid w:val="00AF6F88"/>
    <w:rsid w:val="00B009E1"/>
    <w:rsid w:val="00B01645"/>
    <w:rsid w:val="00B103B0"/>
    <w:rsid w:val="00B105A1"/>
    <w:rsid w:val="00B11611"/>
    <w:rsid w:val="00B13036"/>
    <w:rsid w:val="00B150FD"/>
    <w:rsid w:val="00B17033"/>
    <w:rsid w:val="00B20326"/>
    <w:rsid w:val="00B20EA5"/>
    <w:rsid w:val="00B21F58"/>
    <w:rsid w:val="00B25F33"/>
    <w:rsid w:val="00B2616D"/>
    <w:rsid w:val="00B26DCF"/>
    <w:rsid w:val="00B2754F"/>
    <w:rsid w:val="00B3095B"/>
    <w:rsid w:val="00B37542"/>
    <w:rsid w:val="00B41179"/>
    <w:rsid w:val="00B42B9F"/>
    <w:rsid w:val="00B430EB"/>
    <w:rsid w:val="00B44845"/>
    <w:rsid w:val="00B50DE3"/>
    <w:rsid w:val="00B513EA"/>
    <w:rsid w:val="00B51A74"/>
    <w:rsid w:val="00B52152"/>
    <w:rsid w:val="00B5381F"/>
    <w:rsid w:val="00B54A4B"/>
    <w:rsid w:val="00B60DE8"/>
    <w:rsid w:val="00B67E53"/>
    <w:rsid w:val="00B73814"/>
    <w:rsid w:val="00B74A8F"/>
    <w:rsid w:val="00B76644"/>
    <w:rsid w:val="00B76C87"/>
    <w:rsid w:val="00B77C04"/>
    <w:rsid w:val="00B80998"/>
    <w:rsid w:val="00B809AF"/>
    <w:rsid w:val="00B8295F"/>
    <w:rsid w:val="00B82B8F"/>
    <w:rsid w:val="00B842CB"/>
    <w:rsid w:val="00B84B66"/>
    <w:rsid w:val="00B85CDA"/>
    <w:rsid w:val="00B8619A"/>
    <w:rsid w:val="00B86822"/>
    <w:rsid w:val="00B874D3"/>
    <w:rsid w:val="00B879B6"/>
    <w:rsid w:val="00B87FF3"/>
    <w:rsid w:val="00B91518"/>
    <w:rsid w:val="00B916EB"/>
    <w:rsid w:val="00B91975"/>
    <w:rsid w:val="00B93AD6"/>
    <w:rsid w:val="00B942A5"/>
    <w:rsid w:val="00B944CD"/>
    <w:rsid w:val="00B94C90"/>
    <w:rsid w:val="00B95FFB"/>
    <w:rsid w:val="00B968D5"/>
    <w:rsid w:val="00BA4337"/>
    <w:rsid w:val="00BA65E0"/>
    <w:rsid w:val="00BB52C7"/>
    <w:rsid w:val="00BC1B78"/>
    <w:rsid w:val="00BC3D8E"/>
    <w:rsid w:val="00BC45B7"/>
    <w:rsid w:val="00BC6CEC"/>
    <w:rsid w:val="00BD03A4"/>
    <w:rsid w:val="00BD1A97"/>
    <w:rsid w:val="00BD237D"/>
    <w:rsid w:val="00BD2696"/>
    <w:rsid w:val="00BD3AE4"/>
    <w:rsid w:val="00BD59E8"/>
    <w:rsid w:val="00BE15D7"/>
    <w:rsid w:val="00BE181A"/>
    <w:rsid w:val="00BE44E6"/>
    <w:rsid w:val="00BF460D"/>
    <w:rsid w:val="00BF60E9"/>
    <w:rsid w:val="00BF71C4"/>
    <w:rsid w:val="00BF75A7"/>
    <w:rsid w:val="00C00FD4"/>
    <w:rsid w:val="00C02F63"/>
    <w:rsid w:val="00C0490C"/>
    <w:rsid w:val="00C12F45"/>
    <w:rsid w:val="00C132C2"/>
    <w:rsid w:val="00C14120"/>
    <w:rsid w:val="00C15122"/>
    <w:rsid w:val="00C1520C"/>
    <w:rsid w:val="00C1529C"/>
    <w:rsid w:val="00C168EE"/>
    <w:rsid w:val="00C17755"/>
    <w:rsid w:val="00C20EFF"/>
    <w:rsid w:val="00C211D5"/>
    <w:rsid w:val="00C21AD2"/>
    <w:rsid w:val="00C22E1F"/>
    <w:rsid w:val="00C2406F"/>
    <w:rsid w:val="00C2476A"/>
    <w:rsid w:val="00C24E61"/>
    <w:rsid w:val="00C279BB"/>
    <w:rsid w:val="00C32685"/>
    <w:rsid w:val="00C339A4"/>
    <w:rsid w:val="00C354F6"/>
    <w:rsid w:val="00C3711D"/>
    <w:rsid w:val="00C41AC3"/>
    <w:rsid w:val="00C44E67"/>
    <w:rsid w:val="00C46192"/>
    <w:rsid w:val="00C4660C"/>
    <w:rsid w:val="00C51016"/>
    <w:rsid w:val="00C522AF"/>
    <w:rsid w:val="00C53FF5"/>
    <w:rsid w:val="00C5412C"/>
    <w:rsid w:val="00C54494"/>
    <w:rsid w:val="00C57DF7"/>
    <w:rsid w:val="00C600A8"/>
    <w:rsid w:val="00C611D6"/>
    <w:rsid w:val="00C63937"/>
    <w:rsid w:val="00C64114"/>
    <w:rsid w:val="00C64426"/>
    <w:rsid w:val="00C655C1"/>
    <w:rsid w:val="00C6576E"/>
    <w:rsid w:val="00C722CD"/>
    <w:rsid w:val="00C73F07"/>
    <w:rsid w:val="00C75BB0"/>
    <w:rsid w:val="00C769BB"/>
    <w:rsid w:val="00C773E2"/>
    <w:rsid w:val="00C7740C"/>
    <w:rsid w:val="00C807B6"/>
    <w:rsid w:val="00C80B22"/>
    <w:rsid w:val="00C80F93"/>
    <w:rsid w:val="00C8346B"/>
    <w:rsid w:val="00C8463B"/>
    <w:rsid w:val="00C84EB1"/>
    <w:rsid w:val="00C8553A"/>
    <w:rsid w:val="00C90A44"/>
    <w:rsid w:val="00C935E5"/>
    <w:rsid w:val="00C94286"/>
    <w:rsid w:val="00C97EB1"/>
    <w:rsid w:val="00CA46F7"/>
    <w:rsid w:val="00CA5A3A"/>
    <w:rsid w:val="00CA6782"/>
    <w:rsid w:val="00CB03DD"/>
    <w:rsid w:val="00CB1848"/>
    <w:rsid w:val="00CB1F2D"/>
    <w:rsid w:val="00CB2AA7"/>
    <w:rsid w:val="00CB3EC3"/>
    <w:rsid w:val="00CB56AC"/>
    <w:rsid w:val="00CB77E5"/>
    <w:rsid w:val="00CB7C86"/>
    <w:rsid w:val="00CC3857"/>
    <w:rsid w:val="00CC4A46"/>
    <w:rsid w:val="00CC53CC"/>
    <w:rsid w:val="00CC5DC0"/>
    <w:rsid w:val="00CC76F0"/>
    <w:rsid w:val="00CD1251"/>
    <w:rsid w:val="00CD3610"/>
    <w:rsid w:val="00CD42F2"/>
    <w:rsid w:val="00CD472D"/>
    <w:rsid w:val="00CD5610"/>
    <w:rsid w:val="00CD66C6"/>
    <w:rsid w:val="00CD7144"/>
    <w:rsid w:val="00CD7EBB"/>
    <w:rsid w:val="00CE0362"/>
    <w:rsid w:val="00CE1618"/>
    <w:rsid w:val="00CE34F3"/>
    <w:rsid w:val="00CE60F8"/>
    <w:rsid w:val="00CE725B"/>
    <w:rsid w:val="00CF1206"/>
    <w:rsid w:val="00CF6058"/>
    <w:rsid w:val="00CF7A40"/>
    <w:rsid w:val="00CF7F40"/>
    <w:rsid w:val="00D008CC"/>
    <w:rsid w:val="00D00D08"/>
    <w:rsid w:val="00D0545F"/>
    <w:rsid w:val="00D0735A"/>
    <w:rsid w:val="00D07ADD"/>
    <w:rsid w:val="00D10007"/>
    <w:rsid w:val="00D10670"/>
    <w:rsid w:val="00D10D41"/>
    <w:rsid w:val="00D2260A"/>
    <w:rsid w:val="00D22D60"/>
    <w:rsid w:val="00D27ABA"/>
    <w:rsid w:val="00D27B8D"/>
    <w:rsid w:val="00D300FC"/>
    <w:rsid w:val="00D30E25"/>
    <w:rsid w:val="00D349BF"/>
    <w:rsid w:val="00D36752"/>
    <w:rsid w:val="00D36758"/>
    <w:rsid w:val="00D4274D"/>
    <w:rsid w:val="00D42B45"/>
    <w:rsid w:val="00D50AA6"/>
    <w:rsid w:val="00D53DA1"/>
    <w:rsid w:val="00D5729C"/>
    <w:rsid w:val="00D5767C"/>
    <w:rsid w:val="00D608FF"/>
    <w:rsid w:val="00D617F4"/>
    <w:rsid w:val="00D6457A"/>
    <w:rsid w:val="00D66F30"/>
    <w:rsid w:val="00D67160"/>
    <w:rsid w:val="00D71948"/>
    <w:rsid w:val="00D74D2A"/>
    <w:rsid w:val="00D74E46"/>
    <w:rsid w:val="00D7502D"/>
    <w:rsid w:val="00D75330"/>
    <w:rsid w:val="00D76620"/>
    <w:rsid w:val="00D773E7"/>
    <w:rsid w:val="00D77970"/>
    <w:rsid w:val="00D77B43"/>
    <w:rsid w:val="00D80D65"/>
    <w:rsid w:val="00D845DF"/>
    <w:rsid w:val="00D86D0A"/>
    <w:rsid w:val="00D873BA"/>
    <w:rsid w:val="00D90020"/>
    <w:rsid w:val="00D90527"/>
    <w:rsid w:val="00D94EAE"/>
    <w:rsid w:val="00D95798"/>
    <w:rsid w:val="00D968AA"/>
    <w:rsid w:val="00DA24EC"/>
    <w:rsid w:val="00DA2582"/>
    <w:rsid w:val="00DA3955"/>
    <w:rsid w:val="00DA4B82"/>
    <w:rsid w:val="00DA6867"/>
    <w:rsid w:val="00DA6FC6"/>
    <w:rsid w:val="00DB380D"/>
    <w:rsid w:val="00DB3EF2"/>
    <w:rsid w:val="00DB5244"/>
    <w:rsid w:val="00DB53F1"/>
    <w:rsid w:val="00DB58F2"/>
    <w:rsid w:val="00DB6AEB"/>
    <w:rsid w:val="00DB6B0E"/>
    <w:rsid w:val="00DC772D"/>
    <w:rsid w:val="00DD0E2D"/>
    <w:rsid w:val="00DD1CCB"/>
    <w:rsid w:val="00DD21A5"/>
    <w:rsid w:val="00DD26C5"/>
    <w:rsid w:val="00DD352D"/>
    <w:rsid w:val="00DD3B20"/>
    <w:rsid w:val="00DD60CC"/>
    <w:rsid w:val="00DD71D9"/>
    <w:rsid w:val="00DD7CC0"/>
    <w:rsid w:val="00DE1188"/>
    <w:rsid w:val="00DE14F3"/>
    <w:rsid w:val="00DE2C8E"/>
    <w:rsid w:val="00DE3160"/>
    <w:rsid w:val="00DE3FE0"/>
    <w:rsid w:val="00DE6829"/>
    <w:rsid w:val="00DF0A31"/>
    <w:rsid w:val="00DF233E"/>
    <w:rsid w:val="00DF533B"/>
    <w:rsid w:val="00DF57D3"/>
    <w:rsid w:val="00DF60AA"/>
    <w:rsid w:val="00E02076"/>
    <w:rsid w:val="00E058ED"/>
    <w:rsid w:val="00E13679"/>
    <w:rsid w:val="00E17EAB"/>
    <w:rsid w:val="00E20C02"/>
    <w:rsid w:val="00E22C7F"/>
    <w:rsid w:val="00E256FD"/>
    <w:rsid w:val="00E26835"/>
    <w:rsid w:val="00E31113"/>
    <w:rsid w:val="00E31453"/>
    <w:rsid w:val="00E317DC"/>
    <w:rsid w:val="00E31B8A"/>
    <w:rsid w:val="00E367AB"/>
    <w:rsid w:val="00E4242F"/>
    <w:rsid w:val="00E43B8C"/>
    <w:rsid w:val="00E43FFE"/>
    <w:rsid w:val="00E44898"/>
    <w:rsid w:val="00E50F2B"/>
    <w:rsid w:val="00E513C7"/>
    <w:rsid w:val="00E55AD9"/>
    <w:rsid w:val="00E62921"/>
    <w:rsid w:val="00E64601"/>
    <w:rsid w:val="00E71421"/>
    <w:rsid w:val="00E72C6D"/>
    <w:rsid w:val="00E7339B"/>
    <w:rsid w:val="00E734D1"/>
    <w:rsid w:val="00E74952"/>
    <w:rsid w:val="00E82D2C"/>
    <w:rsid w:val="00E8637A"/>
    <w:rsid w:val="00E93F0F"/>
    <w:rsid w:val="00EA1C2C"/>
    <w:rsid w:val="00EA226B"/>
    <w:rsid w:val="00EA24E2"/>
    <w:rsid w:val="00EA5882"/>
    <w:rsid w:val="00EA6C16"/>
    <w:rsid w:val="00EB1316"/>
    <w:rsid w:val="00EB4248"/>
    <w:rsid w:val="00EB6AB9"/>
    <w:rsid w:val="00EB7D57"/>
    <w:rsid w:val="00EC0A7C"/>
    <w:rsid w:val="00EC2618"/>
    <w:rsid w:val="00EC6F9E"/>
    <w:rsid w:val="00ED1DB7"/>
    <w:rsid w:val="00ED304E"/>
    <w:rsid w:val="00ED330A"/>
    <w:rsid w:val="00ED3E96"/>
    <w:rsid w:val="00ED56BC"/>
    <w:rsid w:val="00ED6C96"/>
    <w:rsid w:val="00ED6CF5"/>
    <w:rsid w:val="00EE2121"/>
    <w:rsid w:val="00EE2B7B"/>
    <w:rsid w:val="00EE2D20"/>
    <w:rsid w:val="00EE343D"/>
    <w:rsid w:val="00EE3C8D"/>
    <w:rsid w:val="00EE4044"/>
    <w:rsid w:val="00EE418A"/>
    <w:rsid w:val="00EE4794"/>
    <w:rsid w:val="00EE48C4"/>
    <w:rsid w:val="00EE58EA"/>
    <w:rsid w:val="00EE7A69"/>
    <w:rsid w:val="00EF04D3"/>
    <w:rsid w:val="00EF1D90"/>
    <w:rsid w:val="00EF283A"/>
    <w:rsid w:val="00EF65B4"/>
    <w:rsid w:val="00F01AB9"/>
    <w:rsid w:val="00F062AC"/>
    <w:rsid w:val="00F069D6"/>
    <w:rsid w:val="00F12E15"/>
    <w:rsid w:val="00F13144"/>
    <w:rsid w:val="00F131DE"/>
    <w:rsid w:val="00F14837"/>
    <w:rsid w:val="00F15C7B"/>
    <w:rsid w:val="00F22443"/>
    <w:rsid w:val="00F23C09"/>
    <w:rsid w:val="00F23E3A"/>
    <w:rsid w:val="00F310BA"/>
    <w:rsid w:val="00F31ECF"/>
    <w:rsid w:val="00F32102"/>
    <w:rsid w:val="00F35265"/>
    <w:rsid w:val="00F40CBA"/>
    <w:rsid w:val="00F41F6E"/>
    <w:rsid w:val="00F421F2"/>
    <w:rsid w:val="00F42686"/>
    <w:rsid w:val="00F45582"/>
    <w:rsid w:val="00F45FB7"/>
    <w:rsid w:val="00F47A6C"/>
    <w:rsid w:val="00F47D75"/>
    <w:rsid w:val="00F47DFE"/>
    <w:rsid w:val="00F505D4"/>
    <w:rsid w:val="00F5309A"/>
    <w:rsid w:val="00F542E3"/>
    <w:rsid w:val="00F5617B"/>
    <w:rsid w:val="00F56B15"/>
    <w:rsid w:val="00F56B1F"/>
    <w:rsid w:val="00F6238D"/>
    <w:rsid w:val="00F63AF9"/>
    <w:rsid w:val="00F6487C"/>
    <w:rsid w:val="00F652C6"/>
    <w:rsid w:val="00F6729A"/>
    <w:rsid w:val="00F67CF1"/>
    <w:rsid w:val="00F67D40"/>
    <w:rsid w:val="00F700FD"/>
    <w:rsid w:val="00F7035D"/>
    <w:rsid w:val="00F7339E"/>
    <w:rsid w:val="00F75001"/>
    <w:rsid w:val="00F76F73"/>
    <w:rsid w:val="00F77985"/>
    <w:rsid w:val="00F828C9"/>
    <w:rsid w:val="00F83524"/>
    <w:rsid w:val="00F83C29"/>
    <w:rsid w:val="00F860D7"/>
    <w:rsid w:val="00F86FAF"/>
    <w:rsid w:val="00F8751F"/>
    <w:rsid w:val="00F8783C"/>
    <w:rsid w:val="00F87921"/>
    <w:rsid w:val="00F91938"/>
    <w:rsid w:val="00F9224D"/>
    <w:rsid w:val="00F92330"/>
    <w:rsid w:val="00F93139"/>
    <w:rsid w:val="00F94F61"/>
    <w:rsid w:val="00FA15EA"/>
    <w:rsid w:val="00FA38A6"/>
    <w:rsid w:val="00FB0996"/>
    <w:rsid w:val="00FB0FC0"/>
    <w:rsid w:val="00FB2A0B"/>
    <w:rsid w:val="00FB7216"/>
    <w:rsid w:val="00FB778C"/>
    <w:rsid w:val="00FC4D99"/>
    <w:rsid w:val="00FC59DB"/>
    <w:rsid w:val="00FC6400"/>
    <w:rsid w:val="00FD037D"/>
    <w:rsid w:val="00FD0B02"/>
    <w:rsid w:val="00FD0ED5"/>
    <w:rsid w:val="00FD1AB7"/>
    <w:rsid w:val="00FD7155"/>
    <w:rsid w:val="00FE437F"/>
    <w:rsid w:val="00FE4878"/>
    <w:rsid w:val="00FE500B"/>
    <w:rsid w:val="00FE6309"/>
    <w:rsid w:val="00FF08F7"/>
    <w:rsid w:val="00FF1780"/>
    <w:rsid w:val="00FF2CB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vertical-relative:line" strokecolor="#c1292d">
      <v:stroke color="#c1292d" weight="1.5pt"/>
    </o:shapedefaults>
    <o:shapelayout v:ext="edit">
      <o:idmap v:ext="edit" data="1"/>
    </o:shapelayout>
  </w:shapeDefaults>
  <w:decimalSymbol w:val="."/>
  <w:listSeparator w:val=","/>
  <w15:chartTrackingRefBased/>
  <w15:docId w15:val="{0F1BEEDD-D35F-4196-81D9-8DD18E19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91B"/>
    <w:rPr>
      <w:rFonts w:ascii="Arial" w:hAnsi="Arial"/>
      <w:sz w:val="22"/>
      <w:szCs w:val="24"/>
      <w:lang w:eastAsia="ja-JP"/>
    </w:rPr>
  </w:style>
  <w:style w:type="paragraph" w:styleId="Heading1">
    <w:name w:val="heading 1"/>
    <w:basedOn w:val="Normal"/>
    <w:next w:val="Normal"/>
    <w:link w:val="Heading1Char"/>
    <w:qFormat/>
    <w:rsid w:val="00FD1AB7"/>
    <w:pPr>
      <w:keepNext/>
      <w:outlineLvl w:val="0"/>
    </w:pPr>
    <w:rPr>
      <w:rFonts w:cs="Arial"/>
      <w:b/>
      <w:bCs/>
      <w:color w:val="C1292D"/>
      <w:kern w:val="32"/>
      <w:sz w:val="32"/>
      <w:szCs w:val="32"/>
    </w:rPr>
  </w:style>
  <w:style w:type="paragraph" w:styleId="Heading3">
    <w:name w:val="heading 3"/>
    <w:basedOn w:val="Normal"/>
    <w:next w:val="Normal"/>
    <w:qFormat/>
    <w:rsid w:val="00AA3522"/>
    <w:pPr>
      <w:keepNext/>
      <w:overflowPunct w:val="0"/>
      <w:autoSpaceDE w:val="0"/>
      <w:autoSpaceDN w:val="0"/>
      <w:adjustRightInd w:val="0"/>
      <w:textAlignment w:val="baseline"/>
      <w:outlineLvl w:val="2"/>
    </w:pPr>
    <w:rPr>
      <w:rFonts w:eastAsia="Times New Roman" w:cs="Arial"/>
      <w:b/>
      <w:bCs/>
      <w:color w:val="C1292D"/>
      <w:szCs w:val="26"/>
      <w:lang w:eastAsia="en-US"/>
    </w:rPr>
  </w:style>
  <w:style w:type="paragraph" w:styleId="Heading5">
    <w:name w:val="heading 5"/>
    <w:basedOn w:val="Normal"/>
    <w:next w:val="Normal"/>
    <w:link w:val="Heading5Char"/>
    <w:qFormat/>
    <w:rsid w:val="002D0DCF"/>
    <w:pPr>
      <w:keepNext/>
      <w:outlineLvl w:val="4"/>
    </w:pPr>
    <w:rPr>
      <w:rFonts w:eastAsia="Times New Roman"/>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Label">
    <w:name w:val="Part Label"/>
    <w:basedOn w:val="Normal"/>
    <w:next w:val="Normal"/>
    <w:rsid w:val="00EE4794"/>
    <w:pPr>
      <w:framePr w:w="2045" w:hSpace="187" w:vSpace="187" w:wrap="notBeside" w:vAnchor="page" w:hAnchor="margin" w:xAlign="right" w:y="966"/>
      <w:shd w:val="pct20" w:color="auto" w:fill="auto"/>
      <w:spacing w:before="320" w:line="1560" w:lineRule="exact"/>
      <w:jc w:val="center"/>
    </w:pPr>
    <w:rPr>
      <w:rFonts w:ascii="Arial Black" w:eastAsia="Times New Roman" w:hAnsi="Arial Black"/>
      <w:color w:val="FFFFFF"/>
      <w:sz w:val="196"/>
      <w:szCs w:val="20"/>
      <w:lang w:eastAsia="en-US"/>
    </w:rPr>
  </w:style>
  <w:style w:type="paragraph" w:customStyle="1" w:styleId="PartTitle">
    <w:name w:val="Part Title"/>
    <w:basedOn w:val="Normal"/>
    <w:next w:val="PartLabel"/>
    <w:rsid w:val="00EE4794"/>
    <w:pPr>
      <w:keepNext/>
      <w:pageBreakBefore/>
      <w:framePr w:w="2045" w:hSpace="187" w:vSpace="187" w:wrap="notBeside" w:vAnchor="page" w:hAnchor="margin" w:xAlign="right" w:y="966"/>
      <w:shd w:val="pct20" w:color="auto" w:fill="auto"/>
      <w:spacing w:line="480" w:lineRule="exact"/>
      <w:jc w:val="center"/>
    </w:pPr>
    <w:rPr>
      <w:rFonts w:ascii="Arial Black" w:eastAsia="Times New Roman" w:hAnsi="Arial Black"/>
      <w:spacing w:val="-50"/>
      <w:sz w:val="36"/>
      <w:szCs w:val="20"/>
      <w:lang w:eastAsia="en-US"/>
    </w:rPr>
  </w:style>
  <w:style w:type="paragraph" w:styleId="Header">
    <w:name w:val="header"/>
    <w:basedOn w:val="Normal"/>
    <w:link w:val="HeaderChar"/>
    <w:rsid w:val="002D0DCF"/>
    <w:pPr>
      <w:tabs>
        <w:tab w:val="center" w:pos="4320"/>
        <w:tab w:val="right" w:pos="8640"/>
      </w:tabs>
    </w:pPr>
    <w:rPr>
      <w:rFonts w:eastAsia="Times New Roman"/>
      <w:szCs w:val="20"/>
      <w:lang w:eastAsia="en-US"/>
    </w:rPr>
  </w:style>
  <w:style w:type="paragraph" w:styleId="BodyTextIndent">
    <w:name w:val="Body Text Indent"/>
    <w:basedOn w:val="Normal"/>
    <w:rsid w:val="002D0DCF"/>
    <w:pPr>
      <w:spacing w:after="120"/>
      <w:ind w:left="283"/>
    </w:pPr>
    <w:rPr>
      <w:rFonts w:eastAsia="Times New Roman"/>
      <w:szCs w:val="20"/>
      <w:lang w:eastAsia="en-US"/>
    </w:rPr>
  </w:style>
  <w:style w:type="paragraph" w:styleId="Footer">
    <w:name w:val="footer"/>
    <w:basedOn w:val="Normal"/>
    <w:link w:val="FooterChar"/>
    <w:uiPriority w:val="99"/>
    <w:rsid w:val="002D0DCF"/>
    <w:pPr>
      <w:tabs>
        <w:tab w:val="center" w:pos="4320"/>
        <w:tab w:val="right" w:pos="8640"/>
      </w:tabs>
    </w:pPr>
  </w:style>
  <w:style w:type="character" w:styleId="Hyperlink">
    <w:name w:val="Hyperlink"/>
    <w:uiPriority w:val="99"/>
    <w:rsid w:val="002D0DCF"/>
    <w:rPr>
      <w:color w:val="0000FF"/>
      <w:u w:val="single"/>
    </w:rPr>
  </w:style>
  <w:style w:type="paragraph" w:styleId="TOC1">
    <w:name w:val="toc 1"/>
    <w:basedOn w:val="Normal"/>
    <w:next w:val="Normal"/>
    <w:autoRedefine/>
    <w:uiPriority w:val="39"/>
    <w:rsid w:val="00EF283A"/>
    <w:pPr>
      <w:tabs>
        <w:tab w:val="left" w:pos="567"/>
        <w:tab w:val="right" w:pos="8959"/>
        <w:tab w:val="right" w:pos="10490"/>
      </w:tabs>
      <w:spacing w:line="480" w:lineRule="auto"/>
    </w:pPr>
    <w:rPr>
      <w:rFonts w:eastAsia="Times New Roman" w:cs="Arial"/>
      <w:b/>
      <w:noProof/>
      <w:color w:val="777777"/>
      <w:szCs w:val="22"/>
      <w:lang w:eastAsia="en-GB"/>
    </w:rPr>
  </w:style>
  <w:style w:type="table" w:styleId="TableGrid">
    <w:name w:val="Table Grid"/>
    <w:basedOn w:val="TableNormal"/>
    <w:uiPriority w:val="39"/>
    <w:rsid w:val="002D0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F340B"/>
  </w:style>
  <w:style w:type="paragraph" w:styleId="TOC3">
    <w:name w:val="toc 3"/>
    <w:basedOn w:val="Normal"/>
    <w:next w:val="Normal"/>
    <w:autoRedefine/>
    <w:rsid w:val="0094174E"/>
  </w:style>
  <w:style w:type="paragraph" w:styleId="BalloonText">
    <w:name w:val="Balloon Text"/>
    <w:basedOn w:val="Normal"/>
    <w:semiHidden/>
    <w:rsid w:val="009F0EAD"/>
    <w:rPr>
      <w:rFonts w:ascii="Tahoma" w:hAnsi="Tahoma" w:cs="Tahoma"/>
      <w:sz w:val="16"/>
      <w:szCs w:val="16"/>
    </w:rPr>
  </w:style>
  <w:style w:type="paragraph" w:styleId="BodyText2">
    <w:name w:val="Body Text 2"/>
    <w:basedOn w:val="Normal"/>
    <w:rsid w:val="00A13153"/>
    <w:pPr>
      <w:spacing w:after="120" w:line="480" w:lineRule="auto"/>
    </w:pPr>
  </w:style>
  <w:style w:type="character" w:customStyle="1" w:styleId="Heading5Char">
    <w:name w:val="Heading 5 Char"/>
    <w:link w:val="Heading5"/>
    <w:rsid w:val="0094174E"/>
    <w:rPr>
      <w:sz w:val="24"/>
      <w:u w:val="single"/>
      <w:lang w:val="en-GB" w:eastAsia="en-US" w:bidi="ar-SA"/>
    </w:rPr>
  </w:style>
  <w:style w:type="paragraph" w:customStyle="1" w:styleId="CustomColorRGB193">
    <w:name w:val="Custom Color(RGB(193"/>
    <w:aliases w:val="41,45))"/>
    <w:basedOn w:val="Heading1"/>
    <w:rsid w:val="00297994"/>
    <w:pPr>
      <w:spacing w:before="100" w:beforeAutospacing="1"/>
    </w:pPr>
    <w:rPr>
      <w:kern w:val="0"/>
    </w:rPr>
  </w:style>
  <w:style w:type="paragraph" w:customStyle="1" w:styleId="CustomColorRGB192">
    <w:name w:val="Custom Color(RGB(192"/>
    <w:aliases w:val="0,0))"/>
    <w:basedOn w:val="Heading1"/>
    <w:rsid w:val="00297994"/>
    <w:pPr>
      <w:spacing w:before="100" w:beforeAutospacing="1"/>
    </w:pPr>
    <w:rPr>
      <w:color w:val="C00000"/>
    </w:rPr>
  </w:style>
  <w:style w:type="paragraph" w:customStyle="1" w:styleId="CharCharChar">
    <w:name w:val="Char Char Char"/>
    <w:basedOn w:val="Normal"/>
    <w:rsid w:val="00AC6D15"/>
    <w:pPr>
      <w:spacing w:after="160" w:line="240" w:lineRule="exact"/>
    </w:pPr>
    <w:rPr>
      <w:rFonts w:ascii="Verdana" w:hAnsi="Verdana" w:cs="Verdana"/>
      <w:sz w:val="20"/>
      <w:szCs w:val="20"/>
      <w:lang w:val="en-US" w:eastAsia="en-US"/>
    </w:rPr>
  </w:style>
  <w:style w:type="paragraph" w:styleId="ListParagraph">
    <w:name w:val="List Paragraph"/>
    <w:basedOn w:val="Normal"/>
    <w:uiPriority w:val="34"/>
    <w:qFormat/>
    <w:rsid w:val="00214C7E"/>
    <w:pPr>
      <w:ind w:left="720"/>
    </w:pPr>
    <w:rPr>
      <w:rFonts w:eastAsia="Calibri" w:cs="Arial"/>
      <w:szCs w:val="22"/>
      <w:lang w:eastAsia="en-GB"/>
    </w:rPr>
  </w:style>
  <w:style w:type="paragraph" w:styleId="DocumentMap">
    <w:name w:val="Document Map"/>
    <w:basedOn w:val="Normal"/>
    <w:link w:val="DocumentMapChar"/>
    <w:rsid w:val="000019A8"/>
    <w:rPr>
      <w:rFonts w:ascii="Tahoma" w:hAnsi="Tahoma" w:cs="Tahoma"/>
      <w:sz w:val="16"/>
      <w:szCs w:val="16"/>
    </w:rPr>
  </w:style>
  <w:style w:type="character" w:customStyle="1" w:styleId="DocumentMapChar">
    <w:name w:val="Document Map Char"/>
    <w:link w:val="DocumentMap"/>
    <w:rsid w:val="000019A8"/>
    <w:rPr>
      <w:rFonts w:ascii="Tahoma" w:hAnsi="Tahoma" w:cs="Tahoma"/>
      <w:sz w:val="16"/>
      <w:szCs w:val="16"/>
      <w:lang w:eastAsia="ja-JP"/>
    </w:rPr>
  </w:style>
  <w:style w:type="paragraph" w:customStyle="1" w:styleId="CharCharChar0">
    <w:name w:val="Char Char Char"/>
    <w:basedOn w:val="Normal"/>
    <w:rsid w:val="00933CE9"/>
    <w:pPr>
      <w:spacing w:after="160" w:line="240" w:lineRule="exact"/>
    </w:pPr>
    <w:rPr>
      <w:rFonts w:ascii="Verdana" w:hAnsi="Verdana" w:cs="Verdana"/>
      <w:sz w:val="20"/>
      <w:szCs w:val="20"/>
      <w:lang w:val="en-US" w:eastAsia="en-US"/>
    </w:rPr>
  </w:style>
  <w:style w:type="character" w:customStyle="1" w:styleId="Heading1Char">
    <w:name w:val="Heading 1 Char"/>
    <w:link w:val="Heading1"/>
    <w:rsid w:val="00933CE9"/>
    <w:rPr>
      <w:rFonts w:ascii="Arial" w:hAnsi="Arial" w:cs="Arial"/>
      <w:b/>
      <w:bCs/>
      <w:color w:val="C1292D"/>
      <w:kern w:val="32"/>
      <w:sz w:val="32"/>
      <w:szCs w:val="32"/>
      <w:lang w:eastAsia="ja-JP"/>
    </w:rPr>
  </w:style>
  <w:style w:type="character" w:customStyle="1" w:styleId="FooterChar">
    <w:name w:val="Footer Char"/>
    <w:link w:val="Footer"/>
    <w:uiPriority w:val="99"/>
    <w:rsid w:val="003A0A41"/>
    <w:rPr>
      <w:rFonts w:ascii="Arial" w:hAnsi="Arial"/>
      <w:sz w:val="22"/>
      <w:szCs w:val="24"/>
      <w:lang w:eastAsia="ja-JP"/>
    </w:rPr>
  </w:style>
  <w:style w:type="character" w:customStyle="1" w:styleId="HeaderChar">
    <w:name w:val="Header Char"/>
    <w:link w:val="Header"/>
    <w:rsid w:val="006051D4"/>
    <w:rPr>
      <w:rFonts w:ascii="Arial" w:eastAsia="Times New Roman" w:hAnsi="Arial"/>
      <w:sz w:val="22"/>
      <w:lang w:eastAsia="en-US"/>
    </w:rPr>
  </w:style>
  <w:style w:type="paragraph" w:styleId="NoSpacing">
    <w:name w:val="No Spacing"/>
    <w:uiPriority w:val="1"/>
    <w:qFormat/>
    <w:rsid w:val="008D129A"/>
    <w:rPr>
      <w:rFonts w:ascii="Arial" w:eastAsia="Calibri" w:hAnsi="Arial" w:cs="Arial"/>
      <w:sz w:val="22"/>
      <w:szCs w:val="22"/>
      <w:lang w:eastAsia="en-US"/>
    </w:rPr>
  </w:style>
  <w:style w:type="paragraph" w:customStyle="1" w:styleId="MainText">
    <w:name w:val="Main Text"/>
    <w:basedOn w:val="Normal"/>
    <w:rsid w:val="003550B2"/>
    <w:pPr>
      <w:spacing w:after="120" w:line="312" w:lineRule="auto"/>
    </w:pPr>
    <w:rPr>
      <w:rFonts w:ascii="Times New Roman" w:eastAsia="Times New Roman" w:hAnsi="Times New Roman"/>
      <w:szCs w:val="20"/>
      <w:lang w:eastAsia="en-US"/>
    </w:rPr>
  </w:style>
  <w:style w:type="paragraph" w:customStyle="1" w:styleId="BodyTexthanging">
    <w:name w:val="Body Text hanging"/>
    <w:basedOn w:val="BodyText"/>
    <w:rsid w:val="00074143"/>
    <w:pPr>
      <w:keepLines/>
      <w:spacing w:before="140"/>
      <w:ind w:left="720" w:hanging="720"/>
    </w:pPr>
    <w:rPr>
      <w:rFonts w:ascii="CG Times" w:eastAsia="Times New Roman" w:hAnsi="CG Times"/>
      <w:szCs w:val="20"/>
      <w:lang w:eastAsia="en-US"/>
    </w:rPr>
  </w:style>
  <w:style w:type="paragraph" w:styleId="BodyText">
    <w:name w:val="Body Text"/>
    <w:basedOn w:val="Normal"/>
    <w:link w:val="BodyTextChar"/>
    <w:rsid w:val="00074143"/>
    <w:pPr>
      <w:spacing w:after="120"/>
    </w:pPr>
  </w:style>
  <w:style w:type="character" w:customStyle="1" w:styleId="BodyTextChar">
    <w:name w:val="Body Text Char"/>
    <w:basedOn w:val="DefaultParagraphFont"/>
    <w:link w:val="BodyText"/>
    <w:rsid w:val="00074143"/>
    <w:rPr>
      <w:rFonts w:ascii="Arial" w:hAnsi="Arial"/>
      <w:sz w:val="22"/>
      <w:szCs w:val="24"/>
      <w:lang w:eastAsia="ja-JP"/>
    </w:rPr>
  </w:style>
  <w:style w:type="table" w:styleId="GridTable1Light-Accent1">
    <w:name w:val="Grid Table 1 Light Accent 1"/>
    <w:basedOn w:val="TableNormal"/>
    <w:uiPriority w:val="46"/>
    <w:rsid w:val="00903F57"/>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7Colorful-Accent1">
    <w:name w:val="List Table 7 Colorful Accent 1"/>
    <w:basedOn w:val="TableNormal"/>
    <w:uiPriority w:val="52"/>
    <w:rsid w:val="00903F57"/>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903F57"/>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1">
    <w:name w:val="List Table 3 Accent 1"/>
    <w:basedOn w:val="TableNormal"/>
    <w:uiPriority w:val="48"/>
    <w:rsid w:val="00903F57"/>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5">
    <w:name w:val="List Table 3 Accent 5"/>
    <w:basedOn w:val="TableNormal"/>
    <w:uiPriority w:val="48"/>
    <w:rsid w:val="00EC0A7C"/>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0245">
      <w:bodyDiv w:val="1"/>
      <w:marLeft w:val="0"/>
      <w:marRight w:val="0"/>
      <w:marTop w:val="0"/>
      <w:marBottom w:val="0"/>
      <w:divBdr>
        <w:top w:val="none" w:sz="0" w:space="0" w:color="auto"/>
        <w:left w:val="none" w:sz="0" w:space="0" w:color="auto"/>
        <w:bottom w:val="none" w:sz="0" w:space="0" w:color="auto"/>
        <w:right w:val="none" w:sz="0" w:space="0" w:color="auto"/>
      </w:divBdr>
    </w:div>
    <w:div w:id="15642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C92F-C136-4C3E-86C1-285235AD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2793</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PERIOD</vt:lpstr>
    </vt:vector>
  </TitlesOfParts>
  <Company> </Company>
  <LinksUpToDate>false</LinksUpToDate>
  <CharactersWithSpaces>18582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dc:title>
  <dc:subject/>
  <dc:creator>Mark Buckley</dc:creator>
  <cp:keywords/>
  <dc:description/>
  <cp:lastModifiedBy>Michelle Womack</cp:lastModifiedBy>
  <cp:revision>2</cp:revision>
  <cp:lastPrinted>2019-10-02T09:21:00Z</cp:lastPrinted>
  <dcterms:created xsi:type="dcterms:W3CDTF">2020-09-17T13:53:00Z</dcterms:created>
  <dcterms:modified xsi:type="dcterms:W3CDTF">2020-09-17T13:53:00Z</dcterms:modified>
</cp:coreProperties>
</file>